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1E" w:rsidRPr="00E31DC0" w:rsidRDefault="003E3B00" w:rsidP="003E3B00">
      <w:pPr>
        <w:jc w:val="center"/>
        <w:rPr>
          <w:rFonts w:ascii="Arial" w:hAnsi="Arial" w:cs="Arial"/>
          <w:b/>
          <w:sz w:val="36"/>
          <w:szCs w:val="36"/>
        </w:rPr>
      </w:pPr>
      <w:r w:rsidRPr="00E31DC0">
        <w:rPr>
          <w:rFonts w:ascii="Arial" w:hAnsi="Arial" w:cs="Arial"/>
          <w:b/>
          <w:sz w:val="36"/>
          <w:szCs w:val="36"/>
        </w:rPr>
        <w:t>Consent</w:t>
      </w:r>
      <w:r w:rsidR="00784FF5">
        <w:rPr>
          <w:rFonts w:ascii="Arial" w:hAnsi="Arial" w:cs="Arial"/>
          <w:b/>
          <w:sz w:val="36"/>
          <w:szCs w:val="36"/>
        </w:rPr>
        <w:t xml:space="preserve"> Guidance</w:t>
      </w:r>
    </w:p>
    <w:p w:rsidR="007A0CF7" w:rsidRPr="00E31DC0" w:rsidRDefault="007A0CF7" w:rsidP="003E3B00">
      <w:pPr>
        <w:jc w:val="center"/>
        <w:rPr>
          <w:rFonts w:ascii="Arial" w:hAnsi="Arial" w:cs="Arial"/>
          <w:b/>
          <w:sz w:val="36"/>
          <w:szCs w:val="36"/>
        </w:rPr>
      </w:pPr>
    </w:p>
    <w:p w:rsidR="003E3B00" w:rsidRPr="00E2704E" w:rsidRDefault="003E3B00" w:rsidP="00CD211E">
      <w:pPr>
        <w:rPr>
          <w:rFonts w:ascii="Arial" w:hAnsi="Arial" w:cs="Arial"/>
          <w:sz w:val="18"/>
          <w:szCs w:val="28"/>
        </w:rPr>
      </w:pPr>
    </w:p>
    <w:p w:rsidR="00CD211E" w:rsidRDefault="00CD211E" w:rsidP="00CD211E">
      <w:pPr>
        <w:rPr>
          <w:rFonts w:ascii="Arial" w:hAnsi="Arial" w:cs="Arial"/>
          <w:b/>
          <w:sz w:val="28"/>
          <w:szCs w:val="28"/>
        </w:rPr>
      </w:pPr>
      <w:r w:rsidRPr="00E31DC0">
        <w:rPr>
          <w:rFonts w:ascii="Arial" w:hAnsi="Arial" w:cs="Arial"/>
          <w:b/>
          <w:sz w:val="28"/>
          <w:szCs w:val="28"/>
        </w:rPr>
        <w:t>Table of contents</w:t>
      </w:r>
    </w:p>
    <w:p w:rsidR="00175C3A" w:rsidRPr="00E31DC0" w:rsidRDefault="00175C3A" w:rsidP="00CD211E">
      <w:pPr>
        <w:rPr>
          <w:rFonts w:ascii="Arial" w:hAnsi="Arial" w:cs="Arial"/>
          <w:b/>
          <w:sz w:val="28"/>
          <w:szCs w:val="28"/>
        </w:rPr>
      </w:pPr>
    </w:p>
    <w:p w:rsidR="00547EA4" w:rsidRDefault="000E1994">
      <w:pPr>
        <w:pStyle w:val="TOC1"/>
        <w:rPr>
          <w:rFonts w:asciiTheme="minorHAnsi" w:eastAsiaTheme="minorEastAsia" w:hAnsiTheme="minorHAnsi" w:cstheme="minorBidi"/>
          <w:b w:val="0"/>
          <w:bCs w:val="0"/>
          <w:caps w:val="0"/>
          <w:sz w:val="22"/>
          <w:szCs w:val="22"/>
          <w:lang w:eastAsia="en-GB"/>
        </w:rPr>
      </w:pPr>
      <w:r w:rsidRPr="000E1994">
        <w:rPr>
          <w:caps w:val="0"/>
          <w:sz w:val="20"/>
          <w:szCs w:val="28"/>
        </w:rPr>
        <w:fldChar w:fldCharType="begin"/>
      </w:r>
      <w:r w:rsidR="00CD211E" w:rsidRPr="001530E6">
        <w:rPr>
          <w:caps w:val="0"/>
          <w:sz w:val="20"/>
          <w:szCs w:val="28"/>
        </w:rPr>
        <w:instrText xml:space="preserve"> TOC \o "1-3" \h \z \u </w:instrText>
      </w:r>
      <w:r w:rsidRPr="000E1994">
        <w:rPr>
          <w:caps w:val="0"/>
          <w:sz w:val="20"/>
          <w:szCs w:val="28"/>
        </w:rPr>
        <w:fldChar w:fldCharType="separate"/>
      </w:r>
      <w:hyperlink w:anchor="_Toc185410485" w:history="1">
        <w:r w:rsidR="00547EA4" w:rsidRPr="00B06DFA">
          <w:rPr>
            <w:rStyle w:val="Hyperlink"/>
          </w:rPr>
          <w:t>1</w:t>
        </w:r>
        <w:r w:rsidR="00547EA4">
          <w:rPr>
            <w:rFonts w:asciiTheme="minorHAnsi" w:eastAsiaTheme="minorEastAsia" w:hAnsiTheme="minorHAnsi" w:cstheme="minorBidi"/>
            <w:b w:val="0"/>
            <w:bCs w:val="0"/>
            <w:caps w:val="0"/>
            <w:sz w:val="22"/>
            <w:szCs w:val="22"/>
            <w:lang w:eastAsia="en-GB"/>
          </w:rPr>
          <w:tab/>
        </w:r>
        <w:r w:rsidR="00547EA4" w:rsidRPr="00B06DFA">
          <w:rPr>
            <w:rStyle w:val="Hyperlink"/>
          </w:rPr>
          <w:t>Introduction</w:t>
        </w:r>
        <w:r w:rsidR="00547EA4">
          <w:rPr>
            <w:webHidden/>
          </w:rPr>
          <w:tab/>
        </w:r>
        <w:r w:rsidR="00547EA4">
          <w:rPr>
            <w:webHidden/>
          </w:rPr>
          <w:fldChar w:fldCharType="begin"/>
        </w:r>
        <w:r w:rsidR="00547EA4">
          <w:rPr>
            <w:webHidden/>
          </w:rPr>
          <w:instrText xml:space="preserve"> PAGEREF _Toc185410485 \h </w:instrText>
        </w:r>
        <w:r w:rsidR="00547EA4">
          <w:rPr>
            <w:webHidden/>
          </w:rPr>
        </w:r>
        <w:r w:rsidR="00547EA4">
          <w:rPr>
            <w:webHidden/>
          </w:rPr>
          <w:fldChar w:fldCharType="separate"/>
        </w:r>
        <w:r w:rsidR="00547EA4">
          <w:rPr>
            <w:webHidden/>
          </w:rPr>
          <w:t>2</w:t>
        </w:r>
        <w:r w:rsidR="00547EA4">
          <w:rPr>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86" w:history="1">
        <w:r w:rsidRPr="00B06DFA">
          <w:rPr>
            <w:rStyle w:val="Hyperlink"/>
            <w:rFonts w:ascii="Arial" w:hAnsi="Arial" w:cs="Arial"/>
            <w:noProof/>
          </w:rPr>
          <w:t>1.1</w:t>
        </w:r>
        <w:r>
          <w:rPr>
            <w:rFonts w:eastAsiaTheme="minorEastAsia" w:cstheme="minorBidi"/>
            <w:b w:val="0"/>
            <w:bCs w:val="0"/>
            <w:noProof/>
            <w:sz w:val="22"/>
            <w:szCs w:val="22"/>
            <w:lang w:eastAsia="en-GB"/>
          </w:rPr>
          <w:tab/>
        </w:r>
        <w:r w:rsidRPr="00B06DFA">
          <w:rPr>
            <w:rStyle w:val="Hyperlink"/>
            <w:rFonts w:ascii="Arial" w:hAnsi="Arial" w:cs="Arial"/>
            <w:noProof/>
          </w:rPr>
          <w:t>Policy statement</w:t>
        </w:r>
        <w:r>
          <w:rPr>
            <w:noProof/>
            <w:webHidden/>
          </w:rPr>
          <w:tab/>
        </w:r>
        <w:r>
          <w:rPr>
            <w:noProof/>
            <w:webHidden/>
          </w:rPr>
          <w:fldChar w:fldCharType="begin"/>
        </w:r>
        <w:r>
          <w:rPr>
            <w:noProof/>
            <w:webHidden/>
          </w:rPr>
          <w:instrText xml:space="preserve"> PAGEREF _Toc185410486 \h </w:instrText>
        </w:r>
        <w:r>
          <w:rPr>
            <w:noProof/>
            <w:webHidden/>
          </w:rPr>
        </w:r>
        <w:r>
          <w:rPr>
            <w:noProof/>
            <w:webHidden/>
          </w:rPr>
          <w:fldChar w:fldCharType="separate"/>
        </w:r>
        <w:r>
          <w:rPr>
            <w:noProof/>
            <w:webHidden/>
          </w:rPr>
          <w:t>2</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87" w:history="1">
        <w:r w:rsidRPr="00B06DFA">
          <w:rPr>
            <w:rStyle w:val="Hyperlink"/>
            <w:rFonts w:ascii="Arial" w:hAnsi="Arial" w:cs="Arial"/>
            <w:noProof/>
          </w:rPr>
          <w:t>1.2</w:t>
        </w:r>
        <w:r>
          <w:rPr>
            <w:rFonts w:eastAsiaTheme="minorEastAsia" w:cstheme="minorBidi"/>
            <w:b w:val="0"/>
            <w:bCs w:val="0"/>
            <w:noProof/>
            <w:sz w:val="22"/>
            <w:szCs w:val="22"/>
            <w:lang w:eastAsia="en-GB"/>
          </w:rPr>
          <w:tab/>
        </w:r>
        <w:r w:rsidRPr="00B06DFA">
          <w:rPr>
            <w:rStyle w:val="Hyperlink"/>
            <w:rFonts w:ascii="Arial" w:hAnsi="Arial" w:cs="Arial"/>
            <w:noProof/>
          </w:rPr>
          <w:t>Status</w:t>
        </w:r>
        <w:r>
          <w:rPr>
            <w:noProof/>
            <w:webHidden/>
          </w:rPr>
          <w:tab/>
        </w:r>
        <w:r>
          <w:rPr>
            <w:noProof/>
            <w:webHidden/>
          </w:rPr>
          <w:fldChar w:fldCharType="begin"/>
        </w:r>
        <w:r>
          <w:rPr>
            <w:noProof/>
            <w:webHidden/>
          </w:rPr>
          <w:instrText xml:space="preserve"> PAGEREF _Toc185410487 \h </w:instrText>
        </w:r>
        <w:r>
          <w:rPr>
            <w:noProof/>
            <w:webHidden/>
          </w:rPr>
        </w:r>
        <w:r>
          <w:rPr>
            <w:noProof/>
            <w:webHidden/>
          </w:rPr>
          <w:fldChar w:fldCharType="separate"/>
        </w:r>
        <w:r>
          <w:rPr>
            <w:noProof/>
            <w:webHidden/>
          </w:rPr>
          <w:t>2</w:t>
        </w:r>
        <w:r>
          <w:rPr>
            <w:noProof/>
            <w:webHidden/>
          </w:rPr>
          <w:fldChar w:fldCharType="end"/>
        </w:r>
      </w:hyperlink>
    </w:p>
    <w:p w:rsidR="00547EA4" w:rsidRDefault="00547EA4">
      <w:pPr>
        <w:pStyle w:val="TOC1"/>
        <w:rPr>
          <w:rFonts w:asciiTheme="minorHAnsi" w:eastAsiaTheme="minorEastAsia" w:hAnsiTheme="minorHAnsi" w:cstheme="minorBidi"/>
          <w:b w:val="0"/>
          <w:bCs w:val="0"/>
          <w:caps w:val="0"/>
          <w:sz w:val="22"/>
          <w:szCs w:val="22"/>
          <w:lang w:eastAsia="en-GB"/>
        </w:rPr>
      </w:pPr>
      <w:hyperlink w:anchor="_Toc185410488" w:history="1">
        <w:r w:rsidRPr="00B06DFA">
          <w:rPr>
            <w:rStyle w:val="Hyperlink"/>
          </w:rPr>
          <w:t>2</w:t>
        </w:r>
        <w:r>
          <w:rPr>
            <w:rFonts w:asciiTheme="minorHAnsi" w:eastAsiaTheme="minorEastAsia" w:hAnsiTheme="minorHAnsi" w:cstheme="minorBidi"/>
            <w:b w:val="0"/>
            <w:bCs w:val="0"/>
            <w:caps w:val="0"/>
            <w:sz w:val="22"/>
            <w:szCs w:val="22"/>
            <w:lang w:eastAsia="en-GB"/>
          </w:rPr>
          <w:tab/>
        </w:r>
        <w:r w:rsidRPr="00B06DFA">
          <w:rPr>
            <w:rStyle w:val="Hyperlink"/>
          </w:rPr>
          <w:t>Definition of terms</w:t>
        </w:r>
        <w:r>
          <w:rPr>
            <w:webHidden/>
          </w:rPr>
          <w:tab/>
        </w:r>
        <w:r>
          <w:rPr>
            <w:webHidden/>
          </w:rPr>
          <w:fldChar w:fldCharType="begin"/>
        </w:r>
        <w:r>
          <w:rPr>
            <w:webHidden/>
          </w:rPr>
          <w:instrText xml:space="preserve"> PAGEREF _Toc185410488 \h </w:instrText>
        </w:r>
        <w:r>
          <w:rPr>
            <w:webHidden/>
          </w:rPr>
        </w:r>
        <w:r>
          <w:rPr>
            <w:webHidden/>
          </w:rPr>
          <w:fldChar w:fldCharType="separate"/>
        </w:r>
        <w:r>
          <w:rPr>
            <w:webHidden/>
          </w:rPr>
          <w:t>2</w:t>
        </w:r>
        <w:r>
          <w:rPr>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89" w:history="1">
        <w:r w:rsidRPr="00B06DFA">
          <w:rPr>
            <w:rStyle w:val="Hyperlink"/>
            <w:rFonts w:ascii="Arial" w:hAnsi="Arial" w:cs="Arial"/>
            <w:noProof/>
          </w:rPr>
          <w:t>NHS England provides the following definitions:</w:t>
        </w:r>
        <w:r>
          <w:rPr>
            <w:noProof/>
            <w:webHidden/>
          </w:rPr>
          <w:tab/>
        </w:r>
        <w:r>
          <w:rPr>
            <w:noProof/>
            <w:webHidden/>
          </w:rPr>
          <w:fldChar w:fldCharType="begin"/>
        </w:r>
        <w:r>
          <w:rPr>
            <w:noProof/>
            <w:webHidden/>
          </w:rPr>
          <w:instrText xml:space="preserve"> PAGEREF _Toc185410489 \h </w:instrText>
        </w:r>
        <w:r>
          <w:rPr>
            <w:noProof/>
            <w:webHidden/>
          </w:rPr>
        </w:r>
        <w:r>
          <w:rPr>
            <w:noProof/>
            <w:webHidden/>
          </w:rPr>
          <w:fldChar w:fldCharType="separate"/>
        </w:r>
        <w:r>
          <w:rPr>
            <w:noProof/>
            <w:webHidden/>
          </w:rPr>
          <w:t>2</w:t>
        </w:r>
        <w:r>
          <w:rPr>
            <w:noProof/>
            <w:webHidden/>
          </w:rPr>
          <w:fldChar w:fldCharType="end"/>
        </w:r>
      </w:hyperlink>
    </w:p>
    <w:p w:rsidR="00547EA4" w:rsidRDefault="00547EA4">
      <w:pPr>
        <w:pStyle w:val="TOC1"/>
        <w:rPr>
          <w:rFonts w:asciiTheme="minorHAnsi" w:eastAsiaTheme="minorEastAsia" w:hAnsiTheme="minorHAnsi" w:cstheme="minorBidi"/>
          <w:b w:val="0"/>
          <w:bCs w:val="0"/>
          <w:caps w:val="0"/>
          <w:sz w:val="22"/>
          <w:szCs w:val="22"/>
          <w:lang w:eastAsia="en-GB"/>
        </w:rPr>
      </w:pPr>
      <w:hyperlink w:anchor="_Toc185410490" w:history="1">
        <w:r w:rsidRPr="00B06DFA">
          <w:rPr>
            <w:rStyle w:val="Hyperlink"/>
          </w:rPr>
          <w:t>3</w:t>
        </w:r>
        <w:r>
          <w:rPr>
            <w:rFonts w:asciiTheme="minorHAnsi" w:eastAsiaTheme="minorEastAsia" w:hAnsiTheme="minorHAnsi" w:cstheme="minorBidi"/>
            <w:b w:val="0"/>
            <w:bCs w:val="0"/>
            <w:caps w:val="0"/>
            <w:sz w:val="22"/>
            <w:szCs w:val="22"/>
            <w:lang w:eastAsia="en-GB"/>
          </w:rPr>
          <w:tab/>
        </w:r>
        <w:r w:rsidRPr="00B06DFA">
          <w:rPr>
            <w:rStyle w:val="Hyperlink"/>
          </w:rPr>
          <w:t>Policy</w:t>
        </w:r>
        <w:r>
          <w:rPr>
            <w:webHidden/>
          </w:rPr>
          <w:tab/>
        </w:r>
        <w:r>
          <w:rPr>
            <w:webHidden/>
          </w:rPr>
          <w:fldChar w:fldCharType="begin"/>
        </w:r>
        <w:r>
          <w:rPr>
            <w:webHidden/>
          </w:rPr>
          <w:instrText xml:space="preserve"> PAGEREF _Toc185410490 \h </w:instrText>
        </w:r>
        <w:r>
          <w:rPr>
            <w:webHidden/>
          </w:rPr>
        </w:r>
        <w:r>
          <w:rPr>
            <w:webHidden/>
          </w:rPr>
          <w:fldChar w:fldCharType="separate"/>
        </w:r>
        <w:r>
          <w:rPr>
            <w:webHidden/>
          </w:rPr>
          <w:t>3</w:t>
        </w:r>
        <w:r>
          <w:rPr>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1" w:history="1">
        <w:r w:rsidRPr="00B06DFA">
          <w:rPr>
            <w:rStyle w:val="Hyperlink"/>
            <w:rFonts w:ascii="Arial" w:hAnsi="Arial" w:cs="Arial"/>
            <w:noProof/>
          </w:rPr>
          <w:t>3.1</w:t>
        </w:r>
        <w:r>
          <w:rPr>
            <w:rFonts w:eastAsiaTheme="minorEastAsia" w:cstheme="minorBidi"/>
            <w:b w:val="0"/>
            <w:bCs w:val="0"/>
            <w:noProof/>
            <w:sz w:val="22"/>
            <w:szCs w:val="22"/>
            <w:lang w:eastAsia="en-GB"/>
          </w:rPr>
          <w:tab/>
        </w:r>
        <w:r w:rsidRPr="00B06DFA">
          <w:rPr>
            <w:rStyle w:val="Hyperlink"/>
            <w:rFonts w:ascii="Arial" w:hAnsi="Arial" w:cs="Arial"/>
            <w:noProof/>
          </w:rPr>
          <w:t>General overview</w:t>
        </w:r>
        <w:r>
          <w:rPr>
            <w:noProof/>
            <w:webHidden/>
          </w:rPr>
          <w:tab/>
        </w:r>
        <w:r>
          <w:rPr>
            <w:noProof/>
            <w:webHidden/>
          </w:rPr>
          <w:fldChar w:fldCharType="begin"/>
        </w:r>
        <w:r>
          <w:rPr>
            <w:noProof/>
            <w:webHidden/>
          </w:rPr>
          <w:instrText xml:space="preserve"> PAGEREF _Toc185410491 \h </w:instrText>
        </w:r>
        <w:r>
          <w:rPr>
            <w:noProof/>
            <w:webHidden/>
          </w:rPr>
        </w:r>
        <w:r>
          <w:rPr>
            <w:noProof/>
            <w:webHidden/>
          </w:rPr>
          <w:fldChar w:fldCharType="separate"/>
        </w:r>
        <w:r>
          <w:rPr>
            <w:noProof/>
            <w:webHidden/>
          </w:rPr>
          <w:t>3</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2" w:history="1">
        <w:r w:rsidRPr="00B06DFA">
          <w:rPr>
            <w:rStyle w:val="Hyperlink"/>
            <w:rFonts w:ascii="Arial" w:hAnsi="Arial" w:cs="Arial"/>
            <w:noProof/>
          </w:rPr>
          <w:t>3.2</w:t>
        </w:r>
        <w:r>
          <w:rPr>
            <w:rFonts w:eastAsiaTheme="minorEastAsia" w:cstheme="minorBidi"/>
            <w:b w:val="0"/>
            <w:bCs w:val="0"/>
            <w:noProof/>
            <w:sz w:val="22"/>
            <w:szCs w:val="22"/>
            <w:lang w:eastAsia="en-GB"/>
          </w:rPr>
          <w:tab/>
        </w:r>
        <w:r w:rsidRPr="00B06DFA">
          <w:rPr>
            <w:rStyle w:val="Hyperlink"/>
            <w:rFonts w:ascii="Arial" w:hAnsi="Arial" w:cs="Arial"/>
            <w:noProof/>
          </w:rPr>
          <w:t>Key principles for consent</w:t>
        </w:r>
        <w:r>
          <w:rPr>
            <w:noProof/>
            <w:webHidden/>
          </w:rPr>
          <w:tab/>
        </w:r>
        <w:r>
          <w:rPr>
            <w:noProof/>
            <w:webHidden/>
          </w:rPr>
          <w:fldChar w:fldCharType="begin"/>
        </w:r>
        <w:r>
          <w:rPr>
            <w:noProof/>
            <w:webHidden/>
          </w:rPr>
          <w:instrText xml:space="preserve"> PAGEREF _Toc185410492 \h </w:instrText>
        </w:r>
        <w:r>
          <w:rPr>
            <w:noProof/>
            <w:webHidden/>
          </w:rPr>
        </w:r>
        <w:r>
          <w:rPr>
            <w:noProof/>
            <w:webHidden/>
          </w:rPr>
          <w:fldChar w:fldCharType="separate"/>
        </w:r>
        <w:r>
          <w:rPr>
            <w:noProof/>
            <w:webHidden/>
          </w:rPr>
          <w:t>3</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3" w:history="1">
        <w:r w:rsidRPr="00B06DFA">
          <w:rPr>
            <w:rStyle w:val="Hyperlink"/>
            <w:rFonts w:ascii="Arial" w:hAnsi="Arial" w:cs="Arial"/>
            <w:noProof/>
          </w:rPr>
          <w:t>3.3</w:t>
        </w:r>
        <w:r>
          <w:rPr>
            <w:rFonts w:eastAsiaTheme="minorEastAsia" w:cstheme="minorBidi"/>
            <w:b w:val="0"/>
            <w:bCs w:val="0"/>
            <w:noProof/>
            <w:sz w:val="22"/>
            <w:szCs w:val="22"/>
            <w:lang w:eastAsia="en-GB"/>
          </w:rPr>
          <w:tab/>
        </w:r>
        <w:r w:rsidRPr="00B06DFA">
          <w:rPr>
            <w:rStyle w:val="Hyperlink"/>
            <w:rFonts w:ascii="Arial" w:hAnsi="Arial" w:cs="Arial"/>
            <w:noProof/>
          </w:rPr>
          <w:t>Giving consent</w:t>
        </w:r>
        <w:r>
          <w:rPr>
            <w:noProof/>
            <w:webHidden/>
          </w:rPr>
          <w:tab/>
        </w:r>
        <w:r>
          <w:rPr>
            <w:noProof/>
            <w:webHidden/>
          </w:rPr>
          <w:fldChar w:fldCharType="begin"/>
        </w:r>
        <w:r>
          <w:rPr>
            <w:noProof/>
            <w:webHidden/>
          </w:rPr>
          <w:instrText xml:space="preserve"> PAGEREF _Toc185410493 \h </w:instrText>
        </w:r>
        <w:r>
          <w:rPr>
            <w:noProof/>
            <w:webHidden/>
          </w:rPr>
        </w:r>
        <w:r>
          <w:rPr>
            <w:noProof/>
            <w:webHidden/>
          </w:rPr>
          <w:fldChar w:fldCharType="separate"/>
        </w:r>
        <w:r>
          <w:rPr>
            <w:noProof/>
            <w:webHidden/>
          </w:rPr>
          <w:t>4</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4" w:history="1">
        <w:r w:rsidRPr="00B06DFA">
          <w:rPr>
            <w:rStyle w:val="Hyperlink"/>
            <w:rFonts w:ascii="Arial" w:hAnsi="Arial" w:cs="Arial"/>
            <w:noProof/>
          </w:rPr>
          <w:t>3.4</w:t>
        </w:r>
        <w:r>
          <w:rPr>
            <w:rFonts w:eastAsiaTheme="minorEastAsia" w:cstheme="minorBidi"/>
            <w:b w:val="0"/>
            <w:bCs w:val="0"/>
            <w:noProof/>
            <w:sz w:val="22"/>
            <w:szCs w:val="22"/>
            <w:lang w:eastAsia="en-GB"/>
          </w:rPr>
          <w:tab/>
        </w:r>
        <w:r w:rsidRPr="00B06DFA">
          <w:rPr>
            <w:rStyle w:val="Hyperlink"/>
            <w:rFonts w:ascii="Arial" w:hAnsi="Arial" w:cs="Arial"/>
            <w:noProof/>
          </w:rPr>
          <w:t>Consent forms</w:t>
        </w:r>
        <w:r>
          <w:rPr>
            <w:noProof/>
            <w:webHidden/>
          </w:rPr>
          <w:tab/>
        </w:r>
        <w:r>
          <w:rPr>
            <w:noProof/>
            <w:webHidden/>
          </w:rPr>
          <w:fldChar w:fldCharType="begin"/>
        </w:r>
        <w:r>
          <w:rPr>
            <w:noProof/>
            <w:webHidden/>
          </w:rPr>
          <w:instrText xml:space="preserve"> PAGEREF _Toc185410494 \h </w:instrText>
        </w:r>
        <w:r>
          <w:rPr>
            <w:noProof/>
            <w:webHidden/>
          </w:rPr>
        </w:r>
        <w:r>
          <w:rPr>
            <w:noProof/>
            <w:webHidden/>
          </w:rPr>
          <w:fldChar w:fldCharType="separate"/>
        </w:r>
        <w:r>
          <w:rPr>
            <w:noProof/>
            <w:webHidden/>
          </w:rPr>
          <w:t>4</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5" w:history="1">
        <w:r w:rsidRPr="00B06DFA">
          <w:rPr>
            <w:rStyle w:val="Hyperlink"/>
            <w:rFonts w:ascii="Arial" w:hAnsi="Arial" w:cs="Arial"/>
            <w:noProof/>
          </w:rPr>
          <w:t>3.5</w:t>
        </w:r>
        <w:r>
          <w:rPr>
            <w:rFonts w:eastAsiaTheme="minorEastAsia" w:cstheme="minorBidi"/>
            <w:b w:val="0"/>
            <w:bCs w:val="0"/>
            <w:noProof/>
            <w:sz w:val="22"/>
            <w:szCs w:val="22"/>
            <w:lang w:eastAsia="en-GB"/>
          </w:rPr>
          <w:tab/>
        </w:r>
        <w:r w:rsidRPr="00B06DFA">
          <w:rPr>
            <w:rStyle w:val="Hyperlink"/>
            <w:rFonts w:ascii="Arial" w:hAnsi="Arial" w:cs="Arial"/>
            <w:noProof/>
          </w:rPr>
          <w:t>Recording consent in a patient’s clinical record</w:t>
        </w:r>
        <w:r>
          <w:rPr>
            <w:noProof/>
            <w:webHidden/>
          </w:rPr>
          <w:tab/>
        </w:r>
        <w:r>
          <w:rPr>
            <w:noProof/>
            <w:webHidden/>
          </w:rPr>
          <w:fldChar w:fldCharType="begin"/>
        </w:r>
        <w:r>
          <w:rPr>
            <w:noProof/>
            <w:webHidden/>
          </w:rPr>
          <w:instrText xml:space="preserve"> PAGEREF _Toc185410495 \h </w:instrText>
        </w:r>
        <w:r>
          <w:rPr>
            <w:noProof/>
            <w:webHidden/>
          </w:rPr>
        </w:r>
        <w:r>
          <w:rPr>
            <w:noProof/>
            <w:webHidden/>
          </w:rPr>
          <w:fldChar w:fldCharType="separate"/>
        </w:r>
        <w:r>
          <w:rPr>
            <w:noProof/>
            <w:webHidden/>
          </w:rPr>
          <w:t>4</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6" w:history="1">
        <w:r w:rsidRPr="00B06DFA">
          <w:rPr>
            <w:rStyle w:val="Hyperlink"/>
            <w:rFonts w:ascii="Arial" w:hAnsi="Arial" w:cs="Arial"/>
            <w:noProof/>
          </w:rPr>
          <w:t>3.6</w:t>
        </w:r>
        <w:r>
          <w:rPr>
            <w:rFonts w:eastAsiaTheme="minorEastAsia" w:cstheme="minorBidi"/>
            <w:b w:val="0"/>
            <w:bCs w:val="0"/>
            <w:noProof/>
            <w:sz w:val="22"/>
            <w:szCs w:val="22"/>
            <w:lang w:eastAsia="en-GB"/>
          </w:rPr>
          <w:tab/>
        </w:r>
        <w:r w:rsidRPr="00B06DFA">
          <w:rPr>
            <w:rStyle w:val="Hyperlink"/>
            <w:rFonts w:ascii="Arial" w:hAnsi="Arial" w:cs="Arial"/>
            <w:noProof/>
          </w:rPr>
          <w:t>When consent is not needed</w:t>
        </w:r>
        <w:r>
          <w:rPr>
            <w:noProof/>
            <w:webHidden/>
          </w:rPr>
          <w:tab/>
        </w:r>
        <w:r>
          <w:rPr>
            <w:noProof/>
            <w:webHidden/>
          </w:rPr>
          <w:fldChar w:fldCharType="begin"/>
        </w:r>
        <w:r>
          <w:rPr>
            <w:noProof/>
            <w:webHidden/>
          </w:rPr>
          <w:instrText xml:space="preserve"> PAGEREF _Toc185410496 \h </w:instrText>
        </w:r>
        <w:r>
          <w:rPr>
            <w:noProof/>
            <w:webHidden/>
          </w:rPr>
        </w:r>
        <w:r>
          <w:rPr>
            <w:noProof/>
            <w:webHidden/>
          </w:rPr>
          <w:fldChar w:fldCharType="separate"/>
        </w:r>
        <w:r>
          <w:rPr>
            <w:noProof/>
            <w:webHidden/>
          </w:rPr>
          <w:t>4</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7" w:history="1">
        <w:r w:rsidRPr="00B06DFA">
          <w:rPr>
            <w:rStyle w:val="Hyperlink"/>
            <w:rFonts w:ascii="Arial" w:hAnsi="Arial" w:cs="Arial"/>
            <w:noProof/>
          </w:rPr>
          <w:t>3.7</w:t>
        </w:r>
        <w:r>
          <w:rPr>
            <w:rFonts w:eastAsiaTheme="minorEastAsia" w:cstheme="minorBidi"/>
            <w:b w:val="0"/>
            <w:bCs w:val="0"/>
            <w:noProof/>
            <w:sz w:val="22"/>
            <w:szCs w:val="22"/>
            <w:lang w:eastAsia="en-GB"/>
          </w:rPr>
          <w:tab/>
        </w:r>
        <w:r w:rsidRPr="00B06DFA">
          <w:rPr>
            <w:rStyle w:val="Hyperlink"/>
            <w:rFonts w:ascii="Arial" w:hAnsi="Arial" w:cs="Arial"/>
            <w:noProof/>
          </w:rPr>
          <w:t>Obtaining consent</w:t>
        </w:r>
        <w:r>
          <w:rPr>
            <w:noProof/>
            <w:webHidden/>
          </w:rPr>
          <w:tab/>
        </w:r>
        <w:r>
          <w:rPr>
            <w:noProof/>
            <w:webHidden/>
          </w:rPr>
          <w:fldChar w:fldCharType="begin"/>
        </w:r>
        <w:r>
          <w:rPr>
            <w:noProof/>
            <w:webHidden/>
          </w:rPr>
          <w:instrText xml:space="preserve"> PAGEREF _Toc185410497 \h </w:instrText>
        </w:r>
        <w:r>
          <w:rPr>
            <w:noProof/>
            <w:webHidden/>
          </w:rPr>
        </w:r>
        <w:r>
          <w:rPr>
            <w:noProof/>
            <w:webHidden/>
          </w:rPr>
          <w:fldChar w:fldCharType="separate"/>
        </w:r>
        <w:r>
          <w:rPr>
            <w:noProof/>
            <w:webHidden/>
          </w:rPr>
          <w:t>5</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8" w:history="1">
        <w:r w:rsidRPr="00B06DFA">
          <w:rPr>
            <w:rStyle w:val="Hyperlink"/>
            <w:rFonts w:ascii="Arial" w:hAnsi="Arial" w:cs="Arial"/>
            <w:noProof/>
          </w:rPr>
          <w:t>3.8</w:t>
        </w:r>
        <w:r>
          <w:rPr>
            <w:rFonts w:eastAsiaTheme="minorEastAsia" w:cstheme="minorBidi"/>
            <w:b w:val="0"/>
            <w:bCs w:val="0"/>
            <w:noProof/>
            <w:sz w:val="22"/>
            <w:szCs w:val="22"/>
            <w:lang w:eastAsia="en-GB"/>
          </w:rPr>
          <w:tab/>
        </w:r>
        <w:r w:rsidRPr="00B06DFA">
          <w:rPr>
            <w:rStyle w:val="Hyperlink"/>
            <w:rFonts w:ascii="Arial" w:hAnsi="Arial" w:cs="Arial"/>
            <w:noProof/>
          </w:rPr>
          <w:t>Delegation of responsibility for obtaining consent</w:t>
        </w:r>
        <w:r>
          <w:rPr>
            <w:noProof/>
            <w:webHidden/>
          </w:rPr>
          <w:tab/>
        </w:r>
        <w:r>
          <w:rPr>
            <w:noProof/>
            <w:webHidden/>
          </w:rPr>
          <w:fldChar w:fldCharType="begin"/>
        </w:r>
        <w:r>
          <w:rPr>
            <w:noProof/>
            <w:webHidden/>
          </w:rPr>
          <w:instrText xml:space="preserve"> PAGEREF _Toc185410498 \h </w:instrText>
        </w:r>
        <w:r>
          <w:rPr>
            <w:noProof/>
            <w:webHidden/>
          </w:rPr>
        </w:r>
        <w:r>
          <w:rPr>
            <w:noProof/>
            <w:webHidden/>
          </w:rPr>
          <w:fldChar w:fldCharType="separate"/>
        </w:r>
        <w:r>
          <w:rPr>
            <w:noProof/>
            <w:webHidden/>
          </w:rPr>
          <w:t>5</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499" w:history="1">
        <w:r w:rsidRPr="00B06DFA">
          <w:rPr>
            <w:rStyle w:val="Hyperlink"/>
            <w:rFonts w:ascii="Arial" w:hAnsi="Arial" w:cs="Arial"/>
            <w:noProof/>
          </w:rPr>
          <w:t>3.9</w:t>
        </w:r>
        <w:r>
          <w:rPr>
            <w:rFonts w:eastAsiaTheme="minorEastAsia" w:cstheme="minorBidi"/>
            <w:b w:val="0"/>
            <w:bCs w:val="0"/>
            <w:noProof/>
            <w:sz w:val="22"/>
            <w:szCs w:val="22"/>
            <w:lang w:eastAsia="en-GB"/>
          </w:rPr>
          <w:tab/>
        </w:r>
        <w:r w:rsidRPr="00B06DFA">
          <w:rPr>
            <w:rStyle w:val="Hyperlink"/>
            <w:rFonts w:ascii="Arial" w:hAnsi="Arial" w:cs="Arial"/>
            <w:noProof/>
          </w:rPr>
          <w:t>Consent for children and young people</w:t>
        </w:r>
        <w:r>
          <w:rPr>
            <w:noProof/>
            <w:webHidden/>
          </w:rPr>
          <w:tab/>
        </w:r>
        <w:r>
          <w:rPr>
            <w:noProof/>
            <w:webHidden/>
          </w:rPr>
          <w:fldChar w:fldCharType="begin"/>
        </w:r>
        <w:r>
          <w:rPr>
            <w:noProof/>
            <w:webHidden/>
          </w:rPr>
          <w:instrText xml:space="preserve"> PAGEREF _Toc185410499 \h </w:instrText>
        </w:r>
        <w:r>
          <w:rPr>
            <w:noProof/>
            <w:webHidden/>
          </w:rPr>
        </w:r>
        <w:r>
          <w:rPr>
            <w:noProof/>
            <w:webHidden/>
          </w:rPr>
          <w:fldChar w:fldCharType="separate"/>
        </w:r>
        <w:r>
          <w:rPr>
            <w:noProof/>
            <w:webHidden/>
          </w:rPr>
          <w:t>6</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500" w:history="1">
        <w:r w:rsidRPr="00B06DFA">
          <w:rPr>
            <w:rStyle w:val="Hyperlink"/>
            <w:rFonts w:ascii="Arial" w:hAnsi="Arial" w:cs="Arial"/>
            <w:noProof/>
          </w:rPr>
          <w:t>3.10</w:t>
        </w:r>
        <w:r>
          <w:rPr>
            <w:rFonts w:eastAsiaTheme="minorEastAsia" w:cstheme="minorBidi"/>
            <w:b w:val="0"/>
            <w:bCs w:val="0"/>
            <w:noProof/>
            <w:sz w:val="22"/>
            <w:szCs w:val="22"/>
            <w:lang w:eastAsia="en-GB"/>
          </w:rPr>
          <w:tab/>
        </w:r>
        <w:r w:rsidRPr="00B06DFA">
          <w:rPr>
            <w:rStyle w:val="Hyperlink"/>
            <w:rFonts w:ascii="Arial" w:hAnsi="Arial" w:cs="Arial"/>
            <w:noProof/>
          </w:rPr>
          <w:t>Under 16 safeguarding considerations</w:t>
        </w:r>
        <w:r>
          <w:rPr>
            <w:noProof/>
            <w:webHidden/>
          </w:rPr>
          <w:tab/>
        </w:r>
        <w:r>
          <w:rPr>
            <w:noProof/>
            <w:webHidden/>
          </w:rPr>
          <w:fldChar w:fldCharType="begin"/>
        </w:r>
        <w:r>
          <w:rPr>
            <w:noProof/>
            <w:webHidden/>
          </w:rPr>
          <w:instrText xml:space="preserve"> PAGEREF _Toc185410500 \h </w:instrText>
        </w:r>
        <w:r>
          <w:rPr>
            <w:noProof/>
            <w:webHidden/>
          </w:rPr>
        </w:r>
        <w:r>
          <w:rPr>
            <w:noProof/>
            <w:webHidden/>
          </w:rPr>
          <w:fldChar w:fldCharType="separate"/>
        </w:r>
        <w:r>
          <w:rPr>
            <w:noProof/>
            <w:webHidden/>
          </w:rPr>
          <w:t>6</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501" w:history="1">
        <w:r w:rsidRPr="00B06DFA">
          <w:rPr>
            <w:rStyle w:val="Hyperlink"/>
            <w:rFonts w:ascii="Arial" w:hAnsi="Arial" w:cs="Arial"/>
            <w:noProof/>
          </w:rPr>
          <w:t>3.11</w:t>
        </w:r>
        <w:r>
          <w:rPr>
            <w:rFonts w:eastAsiaTheme="minorEastAsia" w:cstheme="minorBidi"/>
            <w:b w:val="0"/>
            <w:bCs w:val="0"/>
            <w:noProof/>
            <w:sz w:val="22"/>
            <w:szCs w:val="22"/>
            <w:lang w:eastAsia="en-GB"/>
          </w:rPr>
          <w:tab/>
        </w:r>
        <w:r w:rsidRPr="00B06DFA">
          <w:rPr>
            <w:rStyle w:val="Hyperlink"/>
            <w:rFonts w:ascii="Arial" w:hAnsi="Arial" w:cs="Arial"/>
            <w:noProof/>
          </w:rPr>
          <w:t>Contact details for young people</w:t>
        </w:r>
        <w:r>
          <w:rPr>
            <w:noProof/>
            <w:webHidden/>
          </w:rPr>
          <w:tab/>
        </w:r>
        <w:r>
          <w:rPr>
            <w:noProof/>
            <w:webHidden/>
          </w:rPr>
          <w:fldChar w:fldCharType="begin"/>
        </w:r>
        <w:r>
          <w:rPr>
            <w:noProof/>
            <w:webHidden/>
          </w:rPr>
          <w:instrText xml:space="preserve"> PAGEREF _Toc185410501 \h </w:instrText>
        </w:r>
        <w:r>
          <w:rPr>
            <w:noProof/>
            <w:webHidden/>
          </w:rPr>
        </w:r>
        <w:r>
          <w:rPr>
            <w:noProof/>
            <w:webHidden/>
          </w:rPr>
          <w:fldChar w:fldCharType="separate"/>
        </w:r>
        <w:r>
          <w:rPr>
            <w:noProof/>
            <w:webHidden/>
          </w:rPr>
          <w:t>6</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502" w:history="1">
        <w:r w:rsidRPr="00B06DFA">
          <w:rPr>
            <w:rStyle w:val="Hyperlink"/>
            <w:rFonts w:ascii="Arial" w:hAnsi="Arial" w:cs="Arial"/>
            <w:noProof/>
          </w:rPr>
          <w:t>3.12</w:t>
        </w:r>
        <w:r>
          <w:rPr>
            <w:rFonts w:eastAsiaTheme="minorEastAsia" w:cstheme="minorBidi"/>
            <w:b w:val="0"/>
            <w:bCs w:val="0"/>
            <w:noProof/>
            <w:sz w:val="22"/>
            <w:szCs w:val="22"/>
            <w:lang w:eastAsia="en-GB"/>
          </w:rPr>
          <w:tab/>
        </w:r>
        <w:r w:rsidRPr="00B06DFA">
          <w:rPr>
            <w:rStyle w:val="Hyperlink"/>
            <w:rFonts w:ascii="Arial" w:hAnsi="Arial" w:cs="Arial"/>
            <w:noProof/>
          </w:rPr>
          <w:t>Parental consent</w:t>
        </w:r>
        <w:r>
          <w:rPr>
            <w:noProof/>
            <w:webHidden/>
          </w:rPr>
          <w:tab/>
        </w:r>
        <w:r>
          <w:rPr>
            <w:noProof/>
            <w:webHidden/>
          </w:rPr>
          <w:fldChar w:fldCharType="begin"/>
        </w:r>
        <w:r>
          <w:rPr>
            <w:noProof/>
            <w:webHidden/>
          </w:rPr>
          <w:instrText xml:space="preserve"> PAGEREF _Toc185410502 \h </w:instrText>
        </w:r>
        <w:r>
          <w:rPr>
            <w:noProof/>
            <w:webHidden/>
          </w:rPr>
        </w:r>
        <w:r>
          <w:rPr>
            <w:noProof/>
            <w:webHidden/>
          </w:rPr>
          <w:fldChar w:fldCharType="separate"/>
        </w:r>
        <w:r>
          <w:rPr>
            <w:noProof/>
            <w:webHidden/>
          </w:rPr>
          <w:t>7</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503" w:history="1">
        <w:r w:rsidRPr="00B06DFA">
          <w:rPr>
            <w:rStyle w:val="Hyperlink"/>
            <w:rFonts w:ascii="Arial" w:hAnsi="Arial" w:cs="Arial"/>
            <w:noProof/>
          </w:rPr>
          <w:t>3.13</w:t>
        </w:r>
        <w:r>
          <w:rPr>
            <w:rFonts w:eastAsiaTheme="minorEastAsia" w:cstheme="minorBidi"/>
            <w:b w:val="0"/>
            <w:bCs w:val="0"/>
            <w:noProof/>
            <w:sz w:val="22"/>
            <w:szCs w:val="22"/>
            <w:lang w:eastAsia="en-GB"/>
          </w:rPr>
          <w:tab/>
        </w:r>
        <w:r w:rsidRPr="00B06DFA">
          <w:rPr>
            <w:rStyle w:val="Hyperlink"/>
            <w:rFonts w:ascii="Arial" w:hAnsi="Arial" w:cs="Arial"/>
            <w:noProof/>
          </w:rPr>
          <w:t>Immunisations</w:t>
        </w:r>
        <w:r>
          <w:rPr>
            <w:noProof/>
            <w:webHidden/>
          </w:rPr>
          <w:tab/>
        </w:r>
        <w:r>
          <w:rPr>
            <w:noProof/>
            <w:webHidden/>
          </w:rPr>
          <w:fldChar w:fldCharType="begin"/>
        </w:r>
        <w:r>
          <w:rPr>
            <w:noProof/>
            <w:webHidden/>
          </w:rPr>
          <w:instrText xml:space="preserve"> PAGEREF _Toc185410503 \h </w:instrText>
        </w:r>
        <w:r>
          <w:rPr>
            <w:noProof/>
            <w:webHidden/>
          </w:rPr>
        </w:r>
        <w:r>
          <w:rPr>
            <w:noProof/>
            <w:webHidden/>
          </w:rPr>
          <w:fldChar w:fldCharType="separate"/>
        </w:r>
        <w:r>
          <w:rPr>
            <w:noProof/>
            <w:webHidden/>
          </w:rPr>
          <w:t>7</w:t>
        </w:r>
        <w:r>
          <w:rPr>
            <w:noProof/>
            <w:webHidden/>
          </w:rPr>
          <w:fldChar w:fldCharType="end"/>
        </w:r>
      </w:hyperlink>
    </w:p>
    <w:p w:rsidR="00547EA4" w:rsidRDefault="00547EA4">
      <w:pPr>
        <w:pStyle w:val="TOC2"/>
        <w:rPr>
          <w:rFonts w:eastAsiaTheme="minorEastAsia" w:cstheme="minorBidi"/>
          <w:b w:val="0"/>
          <w:bCs w:val="0"/>
          <w:noProof/>
          <w:sz w:val="22"/>
          <w:szCs w:val="22"/>
          <w:lang w:eastAsia="en-GB"/>
        </w:rPr>
      </w:pPr>
      <w:hyperlink w:anchor="_Toc185410504" w:history="1">
        <w:r w:rsidRPr="00B06DFA">
          <w:rPr>
            <w:rStyle w:val="Hyperlink"/>
            <w:rFonts w:ascii="Arial" w:hAnsi="Arial" w:cs="Arial"/>
            <w:noProof/>
          </w:rPr>
          <w:t>3.14</w:t>
        </w:r>
        <w:r>
          <w:rPr>
            <w:rFonts w:eastAsiaTheme="minorEastAsia" w:cstheme="minorBidi"/>
            <w:b w:val="0"/>
            <w:bCs w:val="0"/>
            <w:noProof/>
            <w:sz w:val="22"/>
            <w:szCs w:val="22"/>
            <w:lang w:eastAsia="en-GB"/>
          </w:rPr>
          <w:tab/>
        </w:r>
        <w:r w:rsidRPr="00B06DFA">
          <w:rPr>
            <w:rStyle w:val="Hyperlink"/>
            <w:rFonts w:ascii="Arial" w:hAnsi="Arial" w:cs="Arial"/>
            <w:noProof/>
          </w:rPr>
          <w:t>Lack of mental capacity</w:t>
        </w:r>
        <w:r>
          <w:rPr>
            <w:noProof/>
            <w:webHidden/>
          </w:rPr>
          <w:tab/>
        </w:r>
        <w:r>
          <w:rPr>
            <w:noProof/>
            <w:webHidden/>
          </w:rPr>
          <w:fldChar w:fldCharType="begin"/>
        </w:r>
        <w:r>
          <w:rPr>
            <w:noProof/>
            <w:webHidden/>
          </w:rPr>
          <w:instrText xml:space="preserve"> PAGEREF _Toc185410504 \h </w:instrText>
        </w:r>
        <w:r>
          <w:rPr>
            <w:noProof/>
            <w:webHidden/>
          </w:rPr>
        </w:r>
        <w:r>
          <w:rPr>
            <w:noProof/>
            <w:webHidden/>
          </w:rPr>
          <w:fldChar w:fldCharType="separate"/>
        </w:r>
        <w:r>
          <w:rPr>
            <w:noProof/>
            <w:webHidden/>
          </w:rPr>
          <w:t>7</w:t>
        </w:r>
        <w:r>
          <w:rPr>
            <w:noProof/>
            <w:webHidden/>
          </w:rPr>
          <w:fldChar w:fldCharType="end"/>
        </w:r>
      </w:hyperlink>
    </w:p>
    <w:p w:rsidR="00547EA4" w:rsidRDefault="00547EA4">
      <w:pPr>
        <w:pStyle w:val="TOC1"/>
        <w:rPr>
          <w:rFonts w:asciiTheme="minorHAnsi" w:eastAsiaTheme="minorEastAsia" w:hAnsiTheme="minorHAnsi" w:cstheme="minorBidi"/>
          <w:b w:val="0"/>
          <w:bCs w:val="0"/>
          <w:caps w:val="0"/>
          <w:sz w:val="22"/>
          <w:szCs w:val="22"/>
          <w:lang w:eastAsia="en-GB"/>
        </w:rPr>
      </w:pPr>
      <w:hyperlink w:anchor="_Toc185410505" w:history="1">
        <w:r w:rsidRPr="00B06DFA">
          <w:rPr>
            <w:rStyle w:val="Hyperlink"/>
          </w:rPr>
          <w:t>Annex A – Consent form</w:t>
        </w:r>
        <w:r>
          <w:rPr>
            <w:webHidden/>
          </w:rPr>
          <w:tab/>
        </w:r>
        <w:r>
          <w:rPr>
            <w:webHidden/>
          </w:rPr>
          <w:fldChar w:fldCharType="begin"/>
        </w:r>
        <w:r>
          <w:rPr>
            <w:webHidden/>
          </w:rPr>
          <w:instrText xml:space="preserve"> PAGEREF _Toc185410505 \h </w:instrText>
        </w:r>
        <w:r>
          <w:rPr>
            <w:webHidden/>
          </w:rPr>
        </w:r>
        <w:r>
          <w:rPr>
            <w:webHidden/>
          </w:rPr>
          <w:fldChar w:fldCharType="separate"/>
        </w:r>
        <w:r>
          <w:rPr>
            <w:webHidden/>
          </w:rPr>
          <w:t>8</w:t>
        </w:r>
        <w:r>
          <w:rPr>
            <w:webHidden/>
          </w:rPr>
          <w:fldChar w:fldCharType="end"/>
        </w:r>
      </w:hyperlink>
    </w:p>
    <w:p w:rsidR="00CD211E" w:rsidRPr="00E2704E" w:rsidRDefault="000E1994" w:rsidP="00175C3A">
      <w:pPr>
        <w:pStyle w:val="TOC1"/>
      </w:pPr>
      <w:r w:rsidRPr="001530E6">
        <w:rPr>
          <w:caps w:val="0"/>
        </w:rPr>
        <w:fldChar w:fldCharType="end"/>
      </w:r>
      <w:r w:rsidR="00CD211E" w:rsidRPr="00E2704E">
        <w:br w:type="page"/>
      </w:r>
    </w:p>
    <w:p w:rsidR="00CD211E" w:rsidRPr="00FE0A3F"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85410485"/>
      <w:r w:rsidRPr="00FE0A3F">
        <w:rPr>
          <w:sz w:val="28"/>
          <w:szCs w:val="28"/>
        </w:rPr>
        <w:lastRenderedPageBreak/>
        <w:t>Introduction</w:t>
      </w:r>
      <w:bookmarkEnd w:id="0"/>
    </w:p>
    <w:p w:rsidR="00CD211E" w:rsidRPr="00F86258" w:rsidRDefault="00D42138" w:rsidP="00CD211E">
      <w:pPr>
        <w:pStyle w:val="Heading2"/>
        <w:rPr>
          <w:rFonts w:ascii="Arial" w:hAnsi="Arial" w:cs="Arial"/>
          <w:smallCaps w:val="0"/>
          <w:sz w:val="24"/>
          <w:szCs w:val="24"/>
          <w:lang w:val="en-GB"/>
        </w:rPr>
      </w:pPr>
      <w:bookmarkStart w:id="1" w:name="_Toc185410486"/>
      <w:r w:rsidRPr="00F86258">
        <w:rPr>
          <w:rFonts w:ascii="Arial" w:hAnsi="Arial" w:cs="Arial"/>
          <w:smallCaps w:val="0"/>
          <w:sz w:val="24"/>
          <w:szCs w:val="24"/>
          <w:lang w:val="en-GB"/>
        </w:rPr>
        <w:t>P</w:t>
      </w:r>
      <w:r w:rsidR="00CD211E" w:rsidRPr="00F86258">
        <w:rPr>
          <w:rFonts w:ascii="Arial" w:hAnsi="Arial" w:cs="Arial"/>
          <w:smallCaps w:val="0"/>
          <w:sz w:val="24"/>
          <w:szCs w:val="24"/>
          <w:lang w:val="en-GB"/>
        </w:rPr>
        <w:t xml:space="preserve">olicy </w:t>
      </w:r>
      <w:r w:rsidR="003E3B00" w:rsidRPr="00F86258">
        <w:rPr>
          <w:rFonts w:ascii="Arial" w:hAnsi="Arial" w:cs="Arial"/>
          <w:smallCaps w:val="0"/>
          <w:sz w:val="24"/>
          <w:szCs w:val="24"/>
          <w:lang w:val="en-GB"/>
        </w:rPr>
        <w:t>s</w:t>
      </w:r>
      <w:r w:rsidR="00CD211E" w:rsidRPr="00F86258">
        <w:rPr>
          <w:rFonts w:ascii="Arial" w:hAnsi="Arial" w:cs="Arial"/>
          <w:smallCaps w:val="0"/>
          <w:sz w:val="24"/>
          <w:szCs w:val="24"/>
          <w:lang w:val="en-GB"/>
        </w:rPr>
        <w:t>tatement</w:t>
      </w:r>
      <w:bookmarkEnd w:id="1"/>
    </w:p>
    <w:p w:rsidR="00CD211E" w:rsidRPr="00F86258" w:rsidRDefault="00CD211E" w:rsidP="00CD211E"/>
    <w:p w:rsidR="000D68D3" w:rsidRPr="008D1151" w:rsidRDefault="0057655C" w:rsidP="000D68D3">
      <w:pPr>
        <w:rPr>
          <w:rFonts w:ascii="Arial" w:hAnsi="Arial" w:cs="Arial"/>
          <w:sz w:val="22"/>
          <w:szCs w:val="22"/>
        </w:rPr>
      </w:pPr>
      <w:r w:rsidRPr="009B3EB9">
        <w:rPr>
          <w:rFonts w:ascii="Arial" w:hAnsi="Arial" w:cs="Arial"/>
          <w:sz w:val="22"/>
          <w:szCs w:val="22"/>
        </w:rPr>
        <w:t xml:space="preserve">The </w:t>
      </w:r>
      <w:r w:rsidR="00042082">
        <w:rPr>
          <w:rFonts w:ascii="Arial" w:hAnsi="Arial" w:cs="Arial"/>
          <w:sz w:val="22"/>
          <w:szCs w:val="22"/>
        </w:rPr>
        <w:t>purpose</w:t>
      </w:r>
      <w:r w:rsidRPr="009B3EB9">
        <w:rPr>
          <w:rFonts w:ascii="Arial" w:hAnsi="Arial" w:cs="Arial"/>
          <w:sz w:val="22"/>
          <w:szCs w:val="22"/>
        </w:rPr>
        <w:t xml:space="preserve"> of th</w:t>
      </w:r>
      <w:r>
        <w:rPr>
          <w:rFonts w:ascii="Arial" w:hAnsi="Arial" w:cs="Arial"/>
          <w:sz w:val="22"/>
          <w:szCs w:val="22"/>
        </w:rPr>
        <w:t xml:space="preserve">is </w:t>
      </w:r>
      <w:r w:rsidR="00042082">
        <w:rPr>
          <w:rFonts w:ascii="Arial" w:hAnsi="Arial" w:cs="Arial"/>
          <w:sz w:val="22"/>
          <w:szCs w:val="22"/>
        </w:rPr>
        <w:t xml:space="preserve">guidance document </w:t>
      </w:r>
      <w:r>
        <w:rPr>
          <w:rFonts w:ascii="Arial" w:hAnsi="Arial" w:cs="Arial"/>
          <w:sz w:val="22"/>
          <w:szCs w:val="22"/>
        </w:rPr>
        <w:t>is to ensure that</w:t>
      </w:r>
      <w:r w:rsidR="009B3EB9">
        <w:rPr>
          <w:rFonts w:ascii="Arial" w:hAnsi="Arial" w:cs="Arial"/>
          <w:sz w:val="22"/>
          <w:szCs w:val="22"/>
        </w:rPr>
        <w:t>,</w:t>
      </w:r>
      <w:r>
        <w:rPr>
          <w:rFonts w:ascii="Arial" w:hAnsi="Arial" w:cs="Arial"/>
          <w:sz w:val="22"/>
          <w:szCs w:val="22"/>
        </w:rPr>
        <w:t xml:space="preserve"> in </w:t>
      </w:r>
      <w:r>
        <w:rPr>
          <w:rStyle w:val="Strong"/>
          <w:rFonts w:ascii="Arial" w:hAnsi="Arial" w:cs="Arial"/>
          <w:b w:val="0"/>
          <w:color w:val="000000" w:themeColor="text1"/>
          <w:sz w:val="22"/>
          <w:szCs w:val="22"/>
        </w:rPr>
        <w:t xml:space="preserve">accordance with the </w:t>
      </w:r>
      <w:hyperlink r:id="rId9" w:history="1">
        <w:r w:rsidRPr="0057655C">
          <w:rPr>
            <w:rStyle w:val="Hyperlink"/>
            <w:rFonts w:ascii="Arial" w:hAnsi="Arial" w:cs="Arial"/>
            <w:sz w:val="22"/>
            <w:szCs w:val="22"/>
          </w:rPr>
          <w:t>Health and Social Care Act 2008 (Regulated Activities) Regulations 2014: Regulation 11</w:t>
        </w:r>
      </w:hyperlink>
      <w:r w:rsidR="009B3EB9">
        <w:rPr>
          <w:rStyle w:val="Strong"/>
          <w:rFonts w:ascii="Arial" w:hAnsi="Arial" w:cs="Arial"/>
          <w:b w:val="0"/>
          <w:sz w:val="22"/>
          <w:szCs w:val="22"/>
        </w:rPr>
        <w:t>,</w:t>
      </w:r>
      <w:r w:rsidRPr="009B3EB9">
        <w:rPr>
          <w:rFonts w:ascii="Arial" w:hAnsi="Arial" w:cs="Arial"/>
          <w:sz w:val="22"/>
          <w:szCs w:val="22"/>
        </w:rPr>
        <w:t xml:space="preserve"> all people using </w:t>
      </w:r>
      <w:r w:rsidR="008D1151">
        <w:rPr>
          <w:rFonts w:ascii="Arial" w:hAnsi="Arial" w:cs="Arial"/>
          <w:sz w:val="22"/>
          <w:szCs w:val="22"/>
        </w:rPr>
        <w:t>Coast Health,</w:t>
      </w:r>
      <w:r w:rsidRPr="009B3EB9">
        <w:rPr>
          <w:rFonts w:ascii="Arial" w:hAnsi="Arial" w:cs="Arial"/>
          <w:sz w:val="22"/>
          <w:szCs w:val="22"/>
        </w:rPr>
        <w:t xml:space="preserve"> and those lawfully acting on their </w:t>
      </w:r>
      <w:proofErr w:type="gramStart"/>
      <w:r w:rsidRPr="009B3EB9">
        <w:rPr>
          <w:rFonts w:ascii="Arial" w:hAnsi="Arial" w:cs="Arial"/>
          <w:sz w:val="22"/>
          <w:szCs w:val="22"/>
        </w:rPr>
        <w:t>behalf,</w:t>
      </w:r>
      <w:proofErr w:type="gramEnd"/>
      <w:r w:rsidRPr="009B3EB9">
        <w:rPr>
          <w:rFonts w:ascii="Arial" w:hAnsi="Arial" w:cs="Arial"/>
          <w:sz w:val="22"/>
          <w:szCs w:val="22"/>
        </w:rPr>
        <w:t xml:space="preserve"> have given consent before any care or treatment is provided. </w:t>
      </w:r>
      <w:r>
        <w:rPr>
          <w:rFonts w:ascii="Arial" w:hAnsi="Arial" w:cs="Arial"/>
          <w:sz w:val="22"/>
          <w:szCs w:val="22"/>
        </w:rPr>
        <w:t>Staff will</w:t>
      </w:r>
      <w:r w:rsidRPr="009B3EB9">
        <w:rPr>
          <w:rFonts w:ascii="Arial" w:hAnsi="Arial" w:cs="Arial"/>
          <w:sz w:val="22"/>
          <w:szCs w:val="22"/>
        </w:rPr>
        <w:t xml:space="preserve"> obtain consent lawfully and </w:t>
      </w:r>
      <w:r w:rsidR="009B3EB9">
        <w:rPr>
          <w:rFonts w:ascii="Arial" w:hAnsi="Arial" w:cs="Arial"/>
          <w:sz w:val="22"/>
          <w:szCs w:val="22"/>
        </w:rPr>
        <w:t xml:space="preserve">ensure </w:t>
      </w:r>
      <w:r w:rsidRPr="009B3EB9">
        <w:rPr>
          <w:rFonts w:ascii="Arial" w:hAnsi="Arial" w:cs="Arial"/>
          <w:sz w:val="22"/>
          <w:szCs w:val="22"/>
        </w:rPr>
        <w:t>that the person who obtains the consent has the necessary knowledge and understanding of the care and/or treatment that they are asking consent for.</w:t>
      </w:r>
    </w:p>
    <w:p w:rsidR="000D68D3" w:rsidRDefault="000D68D3" w:rsidP="000D68D3">
      <w:pPr>
        <w:rPr>
          <w:rFonts w:ascii="Arial" w:hAnsi="Arial" w:cs="Arial"/>
          <w:b/>
          <w:sz w:val="22"/>
          <w:szCs w:val="22"/>
        </w:rPr>
      </w:pPr>
    </w:p>
    <w:p w:rsidR="000D68D3" w:rsidRPr="009B3EB9" w:rsidRDefault="000D68D3" w:rsidP="009B3EB9">
      <w:pPr>
        <w:rPr>
          <w:rFonts w:ascii="Arial" w:hAnsi="Arial" w:cs="Arial"/>
          <w:b/>
          <w:sz w:val="22"/>
          <w:szCs w:val="22"/>
        </w:rPr>
      </w:pPr>
    </w:p>
    <w:p w:rsidR="00CD211E" w:rsidRPr="00F86258" w:rsidRDefault="00D42138" w:rsidP="009B3EB9">
      <w:pPr>
        <w:pStyle w:val="Heading2"/>
        <w:spacing w:before="120" w:line="240" w:lineRule="auto"/>
        <w:ind w:left="578" w:hanging="578"/>
        <w:rPr>
          <w:rFonts w:ascii="Arial" w:hAnsi="Arial" w:cs="Arial"/>
          <w:smallCaps w:val="0"/>
          <w:sz w:val="24"/>
          <w:szCs w:val="24"/>
          <w:lang w:val="en-GB"/>
        </w:rPr>
      </w:pPr>
      <w:bookmarkStart w:id="2" w:name="_Toc43391042"/>
      <w:bookmarkStart w:id="3" w:name="_Toc43391296"/>
      <w:bookmarkStart w:id="4" w:name="_Toc185410487"/>
      <w:bookmarkEnd w:id="2"/>
      <w:bookmarkEnd w:id="3"/>
      <w:r w:rsidRPr="00F86258">
        <w:rPr>
          <w:rFonts w:ascii="Arial" w:hAnsi="Arial" w:cs="Arial"/>
          <w:smallCaps w:val="0"/>
          <w:sz w:val="24"/>
          <w:szCs w:val="24"/>
          <w:lang w:val="en-GB"/>
        </w:rPr>
        <w:t>S</w:t>
      </w:r>
      <w:r w:rsidR="00CD211E" w:rsidRPr="00F86258">
        <w:rPr>
          <w:rFonts w:ascii="Arial" w:hAnsi="Arial" w:cs="Arial"/>
          <w:smallCaps w:val="0"/>
          <w:sz w:val="24"/>
          <w:szCs w:val="24"/>
          <w:lang w:val="en-GB"/>
        </w:rPr>
        <w:t>tatus</w:t>
      </w:r>
      <w:bookmarkEnd w:id="4"/>
    </w:p>
    <w:p w:rsidR="00CD211E" w:rsidRPr="00F86258" w:rsidRDefault="00CD211E" w:rsidP="00CD211E">
      <w:pPr>
        <w:rPr>
          <w:rFonts w:cstheme="minorHAnsi"/>
        </w:rPr>
      </w:pPr>
    </w:p>
    <w:p w:rsidR="000D68D3" w:rsidRDefault="000D68D3" w:rsidP="000D68D3">
      <w:pPr>
        <w:rPr>
          <w:rFonts w:ascii="Arial" w:hAnsi="Arial" w:cs="Arial"/>
          <w:sz w:val="22"/>
          <w:szCs w:val="22"/>
        </w:rPr>
      </w:pPr>
      <w:bookmarkStart w:id="5" w:name="_Toc54953501"/>
      <w:bookmarkStart w:id="6" w:name="_Toc54954993"/>
      <w:bookmarkStart w:id="7" w:name="_Toc54959595"/>
      <w:bookmarkStart w:id="8" w:name="_Toc55992397"/>
      <w:bookmarkStart w:id="9" w:name="_Toc55996804"/>
      <w:bookmarkStart w:id="10" w:name="_Toc55997017"/>
      <w:bookmarkStart w:id="11" w:name="_Toc43391044"/>
      <w:bookmarkStart w:id="12" w:name="_Toc43391298"/>
      <w:bookmarkStart w:id="13" w:name="_Toc43391045"/>
      <w:bookmarkStart w:id="14" w:name="_Toc43391299"/>
      <w:bookmarkStart w:id="15" w:name="_Toc43391046"/>
      <w:bookmarkStart w:id="16" w:name="_Toc43391300"/>
      <w:bookmarkStart w:id="17" w:name="_Toc43391047"/>
      <w:bookmarkStart w:id="18" w:name="_Toc43391301"/>
      <w:bookmarkEnd w:id="5"/>
      <w:bookmarkEnd w:id="6"/>
      <w:bookmarkEnd w:id="7"/>
      <w:bookmarkEnd w:id="8"/>
      <w:bookmarkEnd w:id="9"/>
      <w:bookmarkEnd w:id="10"/>
      <w:bookmarkEnd w:id="11"/>
      <w:bookmarkEnd w:id="12"/>
      <w:bookmarkEnd w:id="13"/>
      <w:bookmarkEnd w:id="14"/>
      <w:bookmarkEnd w:id="15"/>
      <w:bookmarkEnd w:id="16"/>
      <w:bookmarkEnd w:id="17"/>
      <w:bookmarkEnd w:id="18"/>
      <w:r w:rsidRPr="00F86258">
        <w:rPr>
          <w:rFonts w:ascii="Arial" w:hAnsi="Arial" w:cs="Arial"/>
          <w:sz w:val="22"/>
          <w:szCs w:val="22"/>
        </w:rPr>
        <w:t xml:space="preserve">The </w:t>
      </w:r>
      <w:r>
        <w:rPr>
          <w:rFonts w:ascii="Arial" w:hAnsi="Arial" w:cs="Arial"/>
          <w:sz w:val="22"/>
          <w:szCs w:val="22"/>
        </w:rPr>
        <w:t>organisation</w:t>
      </w:r>
      <w:r w:rsidRPr="00F86258">
        <w:rPr>
          <w:rFonts w:ascii="Arial" w:hAnsi="Arial" w:cs="Arial"/>
          <w:sz w:val="22"/>
          <w:szCs w:val="22"/>
        </w:rPr>
        <w:t xml:space="preserve"> aims to design and implement policies and procedures that meet the diverse needs of our service and workforce, ensuring that none are placed at a disadvantage over others, in accordance with the </w:t>
      </w:r>
      <w:hyperlink r:id="rId10" w:history="1">
        <w:r w:rsidRPr="00F97431">
          <w:rPr>
            <w:rStyle w:val="Hyperlink"/>
            <w:rFonts w:ascii="Arial" w:hAnsi="Arial" w:cs="Arial"/>
            <w:sz w:val="22"/>
            <w:szCs w:val="22"/>
          </w:rPr>
          <w:t>Equality Act 2010</w:t>
        </w:r>
      </w:hyperlink>
      <w:r w:rsidRPr="00F86258">
        <w:rPr>
          <w:rFonts w:ascii="Arial" w:hAnsi="Arial" w:cs="Arial"/>
          <w:sz w:val="22"/>
          <w:szCs w:val="22"/>
        </w:rPr>
        <w:t>. Consideration has been given to the impact this policy might have regard</w:t>
      </w:r>
      <w:r w:rsidR="009B3EB9">
        <w:rPr>
          <w:rFonts w:ascii="Arial" w:hAnsi="Arial" w:cs="Arial"/>
          <w:sz w:val="22"/>
          <w:szCs w:val="22"/>
        </w:rPr>
        <w:t>ing</w:t>
      </w:r>
      <w:r w:rsidRPr="00F86258">
        <w:rPr>
          <w:rFonts w:ascii="Arial" w:hAnsi="Arial" w:cs="Arial"/>
          <w:sz w:val="22"/>
          <w:szCs w:val="22"/>
        </w:rPr>
        <w:t xml:space="preserve"> the individual protected characteristics of those to whom it applies.</w:t>
      </w:r>
    </w:p>
    <w:p w:rsidR="000D68D3" w:rsidRDefault="000D68D3" w:rsidP="000D68D3">
      <w:pPr>
        <w:rPr>
          <w:rFonts w:ascii="Arial" w:hAnsi="Arial" w:cs="Arial"/>
          <w:sz w:val="22"/>
          <w:szCs w:val="22"/>
        </w:rPr>
      </w:pPr>
    </w:p>
    <w:p w:rsidR="00010CD3" w:rsidRPr="000F4420" w:rsidRDefault="000D68D3" w:rsidP="00997C8F">
      <w:pPr>
        <w:rPr>
          <w:rFonts w:ascii="Arial" w:hAnsi="Arial" w:cs="Arial"/>
          <w:sz w:val="22"/>
          <w:szCs w:val="22"/>
        </w:rPr>
      </w:pPr>
      <w:r w:rsidRPr="00F86258">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r>
        <w:rPr>
          <w:rFonts w:ascii="Arial" w:hAnsi="Arial" w:cs="Arial"/>
          <w:sz w:val="22"/>
          <w:szCs w:val="22"/>
        </w:rPr>
        <w:t xml:space="preserve"> </w:t>
      </w:r>
      <w:r w:rsidRPr="00692CE7">
        <w:rPr>
          <w:rFonts w:ascii="Arial" w:hAnsi="Arial" w:cs="Arial"/>
          <w:sz w:val="22"/>
          <w:szCs w:val="22"/>
        </w:rPr>
        <w:t xml:space="preserve">Furthermore, this document applies to all employees of the organisation and other individuals performing functions in relation to the </w:t>
      </w:r>
      <w:r w:rsidR="009B3EB9">
        <w:rPr>
          <w:rFonts w:ascii="Arial" w:hAnsi="Arial" w:cs="Arial"/>
          <w:sz w:val="22"/>
          <w:szCs w:val="22"/>
        </w:rPr>
        <w:t>organisation</w:t>
      </w:r>
      <w:r w:rsidRPr="00692CE7">
        <w:rPr>
          <w:rFonts w:ascii="Arial" w:hAnsi="Arial" w:cs="Arial"/>
          <w:sz w:val="22"/>
          <w:szCs w:val="22"/>
        </w:rPr>
        <w:t xml:space="preserve"> such as agency workers, locums and contractors.</w:t>
      </w:r>
    </w:p>
    <w:p w:rsidR="00CD211E" w:rsidRPr="00E31DC0" w:rsidRDefault="00CD211E" w:rsidP="00CD211E">
      <w:pPr>
        <w:pStyle w:val="Heading1"/>
        <w:keepLines/>
        <w:pBdr>
          <w:bottom w:val="single" w:sz="4" w:space="1" w:color="595959" w:themeColor="text1" w:themeTint="A6"/>
        </w:pBdr>
        <w:spacing w:before="360" w:after="160" w:line="259" w:lineRule="auto"/>
        <w:rPr>
          <w:sz w:val="28"/>
          <w:szCs w:val="28"/>
        </w:rPr>
      </w:pPr>
      <w:bookmarkStart w:id="19" w:name="_Toc145510386"/>
      <w:bookmarkStart w:id="20" w:name="_Toc145510441"/>
      <w:bookmarkStart w:id="21" w:name="_Toc145510861"/>
      <w:bookmarkStart w:id="22" w:name="_Toc145510387"/>
      <w:bookmarkStart w:id="23" w:name="_Toc145510442"/>
      <w:bookmarkStart w:id="24" w:name="_Toc145510862"/>
      <w:bookmarkStart w:id="25" w:name="_Toc145510388"/>
      <w:bookmarkStart w:id="26" w:name="_Toc145510443"/>
      <w:bookmarkStart w:id="27" w:name="_Toc145510863"/>
      <w:bookmarkStart w:id="28" w:name="_Toc145510389"/>
      <w:bookmarkStart w:id="29" w:name="_Toc145510444"/>
      <w:bookmarkStart w:id="30" w:name="_Toc145510864"/>
      <w:bookmarkStart w:id="31" w:name="_Toc145510390"/>
      <w:bookmarkStart w:id="32" w:name="_Toc145510445"/>
      <w:bookmarkStart w:id="33" w:name="_Toc145510865"/>
      <w:bookmarkStart w:id="34" w:name="_Toc145510391"/>
      <w:bookmarkStart w:id="35" w:name="_Toc145510446"/>
      <w:bookmarkStart w:id="36" w:name="_Toc145510866"/>
      <w:bookmarkStart w:id="37" w:name="_Toc18541048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E31DC0">
        <w:rPr>
          <w:sz w:val="28"/>
          <w:szCs w:val="28"/>
        </w:rPr>
        <w:t>Definition of terms</w:t>
      </w:r>
      <w:bookmarkEnd w:id="37"/>
    </w:p>
    <w:p w:rsidR="00A9150E" w:rsidRPr="00A9150E" w:rsidRDefault="000E1994" w:rsidP="00A9150E">
      <w:pPr>
        <w:pStyle w:val="Heading2"/>
        <w:numPr>
          <w:ilvl w:val="0"/>
          <w:numId w:val="0"/>
        </w:numPr>
        <w:ind w:left="576" w:hanging="576"/>
        <w:rPr>
          <w:rFonts w:ascii="Arial" w:hAnsi="Arial" w:cs="Arial"/>
          <w:b w:val="0"/>
          <w:bCs w:val="0"/>
          <w:smallCaps w:val="0"/>
          <w:sz w:val="22"/>
          <w:szCs w:val="22"/>
          <w:lang w:val="en-GB"/>
        </w:rPr>
      </w:pPr>
      <w:hyperlink r:id="rId11" w:anchor=":~:text=voluntary%20–%20the%20decision%20to%20either,medical%20staff%2C%20friends%20or%20family" w:history="1">
        <w:bookmarkStart w:id="38" w:name="_Toc185410489"/>
        <w:r w:rsidR="00A9150E" w:rsidRPr="00A9150E">
          <w:rPr>
            <w:rStyle w:val="Hyperlink"/>
            <w:rFonts w:ascii="Arial" w:hAnsi="Arial" w:cs="Arial"/>
            <w:b w:val="0"/>
            <w:bCs w:val="0"/>
            <w:smallCaps w:val="0"/>
            <w:sz w:val="22"/>
            <w:szCs w:val="22"/>
            <w:lang w:val="en-GB"/>
          </w:rPr>
          <w:t>NHS England</w:t>
        </w:r>
      </w:hyperlink>
      <w:r w:rsidR="00A9150E" w:rsidRPr="00A9150E">
        <w:rPr>
          <w:rFonts w:ascii="Arial" w:hAnsi="Arial" w:cs="Arial"/>
          <w:b w:val="0"/>
          <w:bCs w:val="0"/>
          <w:smallCaps w:val="0"/>
          <w:sz w:val="22"/>
          <w:szCs w:val="22"/>
          <w:lang w:val="en-GB"/>
        </w:rPr>
        <w:t xml:space="preserve"> provides the following definitions:</w:t>
      </w:r>
      <w:bookmarkEnd w:id="38"/>
    </w:p>
    <w:p w:rsidR="00A9150E" w:rsidRPr="00A9150E" w:rsidRDefault="00A9150E" w:rsidP="00A9150E">
      <w:pPr>
        <w:rPr>
          <w:rFonts w:ascii="Arial" w:hAnsi="Arial" w:cs="Arial"/>
          <w:sz w:val="22"/>
          <w:szCs w:val="22"/>
        </w:rPr>
      </w:pPr>
    </w:p>
    <w:p w:rsidR="007A0CF7" w:rsidRPr="00A9150E" w:rsidRDefault="00A9150E" w:rsidP="007A0CF7">
      <w:pPr>
        <w:pStyle w:val="ListParagraph"/>
        <w:numPr>
          <w:ilvl w:val="0"/>
          <w:numId w:val="40"/>
        </w:numPr>
        <w:rPr>
          <w:rFonts w:ascii="Arial" w:hAnsi="Arial" w:cs="Arial"/>
          <w:sz w:val="22"/>
          <w:szCs w:val="22"/>
        </w:rPr>
      </w:pPr>
      <w:r w:rsidRPr="00A9150E">
        <w:rPr>
          <w:rFonts w:ascii="Arial" w:hAnsi="Arial" w:cs="Arial"/>
          <w:b/>
          <w:bCs/>
          <w:sz w:val="22"/>
          <w:szCs w:val="22"/>
        </w:rPr>
        <w:t>Voluntary consent</w:t>
      </w:r>
      <w:r w:rsidRPr="00A9150E">
        <w:rPr>
          <w:rFonts w:ascii="Arial" w:hAnsi="Arial" w:cs="Arial"/>
          <w:sz w:val="22"/>
          <w:szCs w:val="22"/>
        </w:rPr>
        <w:t xml:space="preserve">: </w:t>
      </w:r>
      <w:r w:rsidRPr="00A9150E">
        <w:rPr>
          <w:rFonts w:ascii="Arial" w:eastAsia="Times New Roman" w:hAnsi="Arial" w:cs="Arial"/>
          <w:sz w:val="22"/>
          <w:szCs w:val="22"/>
          <w:shd w:val="clear" w:color="auto" w:fill="FFFFFF"/>
          <w:lang w:eastAsia="en-GB"/>
        </w:rPr>
        <w:t>The decision to either consent or not to consent to treatment must be made by the person and must not be influenced by pressure from medical staff, friends or family.</w:t>
      </w:r>
    </w:p>
    <w:p w:rsidR="00A9150E" w:rsidRPr="00A9150E" w:rsidRDefault="00A9150E" w:rsidP="00A9150E">
      <w:pPr>
        <w:pStyle w:val="ListParagraph"/>
        <w:rPr>
          <w:rFonts w:ascii="Arial" w:hAnsi="Arial" w:cs="Arial"/>
          <w:sz w:val="22"/>
          <w:szCs w:val="22"/>
        </w:rPr>
      </w:pPr>
    </w:p>
    <w:p w:rsidR="007A0CF7" w:rsidRPr="00A9150E" w:rsidRDefault="00A9150E" w:rsidP="007A0CF7">
      <w:pPr>
        <w:pStyle w:val="ListParagraph"/>
        <w:numPr>
          <w:ilvl w:val="0"/>
          <w:numId w:val="40"/>
        </w:numPr>
        <w:rPr>
          <w:rFonts w:ascii="Arial" w:hAnsi="Arial" w:cs="Arial"/>
          <w:sz w:val="22"/>
          <w:szCs w:val="22"/>
        </w:rPr>
      </w:pPr>
      <w:r>
        <w:rPr>
          <w:rFonts w:ascii="Arial" w:hAnsi="Arial" w:cs="Arial"/>
          <w:b/>
          <w:bCs/>
          <w:sz w:val="22"/>
          <w:szCs w:val="22"/>
        </w:rPr>
        <w:t>Informed consent:</w:t>
      </w:r>
      <w:r>
        <w:rPr>
          <w:rFonts w:ascii="Arial" w:hAnsi="Arial" w:cs="Arial"/>
          <w:sz w:val="22"/>
          <w:szCs w:val="22"/>
        </w:rPr>
        <w:t xml:space="preserve"> </w:t>
      </w:r>
      <w:r w:rsidR="007A0CF7" w:rsidRPr="00A9150E">
        <w:rPr>
          <w:rFonts w:ascii="Arial" w:eastAsia="Times New Roman" w:hAnsi="Arial" w:cs="Arial"/>
          <w:sz w:val="22"/>
          <w:szCs w:val="22"/>
          <w:shd w:val="clear" w:color="auto" w:fill="FFFFFF"/>
          <w:lang w:eastAsia="en-GB"/>
        </w:rPr>
        <w:t xml:space="preserve">The </w:t>
      </w:r>
      <w:r w:rsidRPr="00A9150E">
        <w:rPr>
          <w:rFonts w:ascii="Arial" w:eastAsia="Times New Roman" w:hAnsi="Arial" w:cs="Arial"/>
          <w:sz w:val="22"/>
          <w:szCs w:val="22"/>
          <w:shd w:val="clear" w:color="auto" w:fill="FFFFFF"/>
          <w:lang w:eastAsia="en-GB"/>
        </w:rPr>
        <w:t>person</w:t>
      </w:r>
      <w:r w:rsidR="007A0CF7" w:rsidRPr="00A9150E">
        <w:rPr>
          <w:rFonts w:ascii="Arial" w:eastAsia="Times New Roman" w:hAnsi="Arial" w:cs="Arial"/>
          <w:sz w:val="22"/>
          <w:szCs w:val="22"/>
          <w:shd w:val="clear" w:color="auto" w:fill="FFFFFF"/>
          <w:lang w:eastAsia="en-GB"/>
        </w:rPr>
        <w:t xml:space="preserve"> must be given </w:t>
      </w:r>
      <w:r w:rsidRPr="00A9150E">
        <w:rPr>
          <w:rFonts w:ascii="Arial" w:eastAsia="Times New Roman" w:hAnsi="Arial" w:cs="Arial"/>
          <w:sz w:val="22"/>
          <w:szCs w:val="22"/>
          <w:shd w:val="clear" w:color="auto" w:fill="FFFFFF"/>
          <w:lang w:eastAsia="en-GB"/>
        </w:rPr>
        <w:t xml:space="preserve">all </w:t>
      </w:r>
      <w:r w:rsidR="007A0CF7" w:rsidRPr="00A9150E">
        <w:rPr>
          <w:rFonts w:ascii="Arial" w:eastAsia="Times New Roman" w:hAnsi="Arial" w:cs="Arial"/>
          <w:sz w:val="22"/>
          <w:szCs w:val="22"/>
          <w:shd w:val="clear" w:color="auto" w:fill="FFFFFF"/>
          <w:lang w:eastAsia="en-GB"/>
        </w:rPr>
        <w:t>the information regarding what the treatment involves</w:t>
      </w:r>
      <w:r w:rsidRPr="00A9150E">
        <w:rPr>
          <w:rFonts w:ascii="Arial" w:eastAsia="Times New Roman" w:hAnsi="Arial" w:cs="Arial"/>
          <w:sz w:val="22"/>
          <w:szCs w:val="22"/>
          <w:shd w:val="clear" w:color="auto" w:fill="FFFFFF"/>
          <w:lang w:eastAsia="en-GB"/>
        </w:rPr>
        <w:t>, including</w:t>
      </w:r>
      <w:r w:rsidR="007A0CF7" w:rsidRPr="00A9150E">
        <w:rPr>
          <w:rFonts w:ascii="Arial" w:eastAsia="Times New Roman" w:hAnsi="Arial" w:cs="Arial"/>
          <w:sz w:val="22"/>
          <w:szCs w:val="22"/>
          <w:shd w:val="clear" w:color="auto" w:fill="FFFFFF"/>
          <w:lang w:eastAsia="en-GB"/>
        </w:rPr>
        <w:t xml:space="preserve"> the benefits and risks, </w:t>
      </w:r>
      <w:r w:rsidRPr="00A9150E">
        <w:rPr>
          <w:rFonts w:ascii="Arial" w:eastAsia="Times New Roman" w:hAnsi="Arial" w:cs="Arial"/>
          <w:sz w:val="22"/>
          <w:szCs w:val="22"/>
          <w:shd w:val="clear" w:color="auto" w:fill="FFFFFF"/>
          <w:lang w:eastAsia="en-GB"/>
        </w:rPr>
        <w:t>whether there are reasonable</w:t>
      </w:r>
      <w:r w:rsidR="007A0CF7" w:rsidRPr="00A9150E">
        <w:rPr>
          <w:rFonts w:ascii="Arial" w:eastAsia="Times New Roman" w:hAnsi="Arial" w:cs="Arial"/>
          <w:sz w:val="22"/>
          <w:szCs w:val="22"/>
          <w:shd w:val="clear" w:color="auto" w:fill="FFFFFF"/>
          <w:lang w:eastAsia="en-GB"/>
        </w:rPr>
        <w:t xml:space="preserve"> alternative treatments and </w:t>
      </w:r>
      <w:r w:rsidRPr="00A9150E">
        <w:rPr>
          <w:rFonts w:ascii="Arial" w:eastAsia="Times New Roman" w:hAnsi="Arial" w:cs="Arial"/>
          <w:sz w:val="22"/>
          <w:szCs w:val="22"/>
          <w:shd w:val="clear" w:color="auto" w:fill="FFFFFF"/>
          <w:lang w:eastAsia="en-GB"/>
        </w:rPr>
        <w:t>what will happen</w:t>
      </w:r>
      <w:r w:rsidR="007A0CF7" w:rsidRPr="00A9150E">
        <w:rPr>
          <w:rFonts w:ascii="Arial" w:eastAsia="Times New Roman" w:hAnsi="Arial" w:cs="Arial"/>
          <w:sz w:val="22"/>
          <w:szCs w:val="22"/>
          <w:shd w:val="clear" w:color="auto" w:fill="FFFFFF"/>
          <w:lang w:eastAsia="en-GB"/>
        </w:rPr>
        <w:t xml:space="preserve"> if the procedure or treatment </w:t>
      </w:r>
      <w:r w:rsidRPr="00A9150E">
        <w:rPr>
          <w:rFonts w:ascii="Arial" w:eastAsia="Times New Roman" w:hAnsi="Arial" w:cs="Arial"/>
          <w:sz w:val="22"/>
          <w:szCs w:val="22"/>
          <w:shd w:val="clear" w:color="auto" w:fill="FFFFFF"/>
          <w:lang w:eastAsia="en-GB"/>
        </w:rPr>
        <w:t>does not go ahead.</w:t>
      </w:r>
    </w:p>
    <w:p w:rsidR="00A9150E" w:rsidRPr="00A9150E" w:rsidRDefault="00A9150E" w:rsidP="00A9150E">
      <w:pPr>
        <w:pStyle w:val="ListParagraph"/>
        <w:rPr>
          <w:rFonts w:ascii="Arial" w:hAnsi="Arial" w:cs="Arial"/>
          <w:sz w:val="22"/>
          <w:szCs w:val="22"/>
        </w:rPr>
      </w:pPr>
    </w:p>
    <w:p w:rsidR="00A9150E" w:rsidRDefault="00A9150E" w:rsidP="00A9150E">
      <w:pPr>
        <w:pStyle w:val="ListParagraph"/>
        <w:numPr>
          <w:ilvl w:val="0"/>
          <w:numId w:val="40"/>
        </w:numPr>
        <w:rPr>
          <w:rFonts w:ascii="Arial" w:eastAsia="Times New Roman" w:hAnsi="Arial" w:cs="Arial"/>
          <w:sz w:val="22"/>
          <w:szCs w:val="22"/>
          <w:shd w:val="clear" w:color="auto" w:fill="FFFFFF"/>
          <w:lang w:eastAsia="en-GB"/>
        </w:rPr>
      </w:pPr>
      <w:r w:rsidRPr="00A9150E">
        <w:rPr>
          <w:rFonts w:ascii="Arial" w:hAnsi="Arial" w:cs="Arial"/>
          <w:b/>
          <w:bCs/>
          <w:sz w:val="22"/>
          <w:szCs w:val="22"/>
        </w:rPr>
        <w:t xml:space="preserve">Capacity: </w:t>
      </w:r>
      <w:r w:rsidRPr="00A9150E">
        <w:rPr>
          <w:rFonts w:ascii="Arial" w:eastAsia="Times New Roman" w:hAnsi="Arial" w:cs="Arial"/>
          <w:sz w:val="22"/>
          <w:szCs w:val="22"/>
          <w:shd w:val="clear" w:color="auto" w:fill="FFFFFF"/>
          <w:lang w:eastAsia="en-GB"/>
        </w:rPr>
        <w:t>The person must be capable of giving consent</w:t>
      </w:r>
      <w:r>
        <w:rPr>
          <w:rFonts w:ascii="Arial" w:eastAsia="Times New Roman" w:hAnsi="Arial" w:cs="Arial"/>
          <w:sz w:val="22"/>
          <w:szCs w:val="22"/>
          <w:shd w:val="clear" w:color="auto" w:fill="FFFFFF"/>
          <w:lang w:eastAsia="en-GB"/>
        </w:rPr>
        <w:t>,</w:t>
      </w:r>
      <w:r w:rsidRPr="00A9150E">
        <w:rPr>
          <w:rFonts w:ascii="Arial" w:eastAsia="Times New Roman" w:hAnsi="Arial" w:cs="Arial"/>
          <w:sz w:val="22"/>
          <w:szCs w:val="22"/>
          <w:shd w:val="clear" w:color="auto" w:fill="FFFFFF"/>
          <w:lang w:eastAsia="en-GB"/>
        </w:rPr>
        <w:t xml:space="preserve"> which means they fully understand the information given to them and can use it to make an informed decision.</w:t>
      </w:r>
    </w:p>
    <w:p w:rsidR="003A2E30" w:rsidRPr="003A2E30" w:rsidRDefault="003A2E30" w:rsidP="003A2E30">
      <w:pPr>
        <w:pStyle w:val="ListParagraph"/>
        <w:rPr>
          <w:rFonts w:ascii="Arial" w:eastAsia="Times New Roman" w:hAnsi="Arial" w:cs="Arial"/>
          <w:sz w:val="22"/>
          <w:szCs w:val="22"/>
          <w:shd w:val="clear" w:color="auto" w:fill="FFFFFF"/>
          <w:lang w:eastAsia="en-GB"/>
        </w:rPr>
      </w:pPr>
    </w:p>
    <w:p w:rsidR="003A2E30" w:rsidRDefault="003A2E30" w:rsidP="00A9150E">
      <w:pPr>
        <w:pStyle w:val="ListParagraph"/>
        <w:numPr>
          <w:ilvl w:val="0"/>
          <w:numId w:val="40"/>
        </w:numPr>
        <w:rPr>
          <w:rFonts w:ascii="Arial" w:eastAsia="Times New Roman" w:hAnsi="Arial" w:cs="Arial"/>
          <w:sz w:val="22"/>
          <w:szCs w:val="22"/>
          <w:shd w:val="clear" w:color="auto" w:fill="FFFFFF"/>
          <w:lang w:eastAsia="en-GB"/>
        </w:rPr>
      </w:pPr>
      <w:r>
        <w:rPr>
          <w:rFonts w:ascii="Arial" w:eastAsia="Times New Roman" w:hAnsi="Arial" w:cs="Arial"/>
          <w:b/>
          <w:bCs/>
          <w:sz w:val="22"/>
          <w:szCs w:val="22"/>
          <w:shd w:val="clear" w:color="auto" w:fill="FFFFFF"/>
          <w:lang w:eastAsia="en-GB"/>
        </w:rPr>
        <w:t xml:space="preserve">Children and consent: </w:t>
      </w:r>
      <w:r>
        <w:rPr>
          <w:rFonts w:ascii="Arial" w:eastAsia="Times New Roman" w:hAnsi="Arial" w:cs="Arial"/>
          <w:sz w:val="22"/>
          <w:szCs w:val="22"/>
          <w:shd w:val="clear" w:color="auto" w:fill="FFFFFF"/>
          <w:lang w:eastAsia="en-GB"/>
        </w:rPr>
        <w:t xml:space="preserve">People aged 16 or over are entitled to consent to their own treatment. Children under the age of 16 can consent to their own treatment if they are Gillick Competent. NHS England’s </w:t>
      </w:r>
      <w:hyperlink r:id="rId12" w:history="1">
        <w:r w:rsidRPr="003A2E30">
          <w:rPr>
            <w:rStyle w:val="Hyperlink"/>
            <w:rFonts w:ascii="Arial" w:eastAsia="Times New Roman" w:hAnsi="Arial" w:cs="Arial"/>
            <w:sz w:val="22"/>
            <w:szCs w:val="22"/>
            <w:shd w:val="clear" w:color="auto" w:fill="FFFFFF"/>
            <w:lang w:eastAsia="en-GB"/>
          </w:rPr>
          <w:t>Children and young people webpage</w:t>
        </w:r>
      </w:hyperlink>
      <w:r>
        <w:rPr>
          <w:rFonts w:ascii="Arial" w:eastAsia="Times New Roman" w:hAnsi="Arial" w:cs="Arial"/>
          <w:sz w:val="22"/>
          <w:szCs w:val="22"/>
          <w:shd w:val="clear" w:color="auto" w:fill="FFFFFF"/>
          <w:lang w:eastAsia="en-GB"/>
        </w:rPr>
        <w:t xml:space="preserve"> provides additional information. </w:t>
      </w:r>
    </w:p>
    <w:p w:rsidR="003A2E30" w:rsidRPr="003A2E30" w:rsidRDefault="003A2E30" w:rsidP="003A2E30">
      <w:pPr>
        <w:pStyle w:val="ListParagraph"/>
        <w:rPr>
          <w:rFonts w:ascii="Arial" w:eastAsia="Times New Roman" w:hAnsi="Arial" w:cs="Arial"/>
          <w:sz w:val="22"/>
          <w:szCs w:val="22"/>
          <w:shd w:val="clear" w:color="auto" w:fill="FFFFFF"/>
          <w:lang w:eastAsia="en-GB"/>
        </w:rPr>
      </w:pPr>
    </w:p>
    <w:p w:rsidR="003A2E30" w:rsidRPr="003A2E30" w:rsidRDefault="000E1994" w:rsidP="003A2E30">
      <w:pPr>
        <w:rPr>
          <w:rFonts w:ascii="Arial" w:eastAsia="Times New Roman" w:hAnsi="Arial" w:cs="Arial"/>
          <w:sz w:val="22"/>
          <w:szCs w:val="22"/>
          <w:shd w:val="clear" w:color="auto" w:fill="FFFFFF"/>
          <w:lang w:eastAsia="en-GB"/>
        </w:rPr>
      </w:pPr>
      <w:hyperlink r:id="rId13" w:history="1">
        <w:r w:rsidR="003A2E30" w:rsidRPr="003A2E30">
          <w:rPr>
            <w:rStyle w:val="Hyperlink"/>
            <w:rFonts w:ascii="Arial" w:eastAsia="Times New Roman" w:hAnsi="Arial" w:cs="Arial"/>
            <w:sz w:val="22"/>
            <w:szCs w:val="22"/>
            <w:shd w:val="clear" w:color="auto" w:fill="FFFFFF"/>
            <w:lang w:eastAsia="en-GB"/>
          </w:rPr>
          <w:t xml:space="preserve">CQC GP </w:t>
        </w:r>
        <w:r w:rsidR="00D14C05">
          <w:rPr>
            <w:rStyle w:val="Hyperlink"/>
            <w:rFonts w:ascii="Arial" w:eastAsia="Times New Roman" w:hAnsi="Arial" w:cs="Arial"/>
            <w:sz w:val="22"/>
            <w:szCs w:val="22"/>
            <w:shd w:val="clear" w:color="auto" w:fill="FFFFFF"/>
            <w:lang w:eastAsia="en-GB"/>
          </w:rPr>
          <w:t>M</w:t>
        </w:r>
        <w:r w:rsidR="003A2E30" w:rsidRPr="003A2E30">
          <w:rPr>
            <w:rStyle w:val="Hyperlink"/>
            <w:rFonts w:ascii="Arial" w:eastAsia="Times New Roman" w:hAnsi="Arial" w:cs="Arial"/>
            <w:sz w:val="22"/>
            <w:szCs w:val="22"/>
            <w:shd w:val="clear" w:color="auto" w:fill="FFFFFF"/>
            <w:lang w:eastAsia="en-GB"/>
          </w:rPr>
          <w:t>ythbuster 8: Gillick competency and Fraser guidelines</w:t>
        </w:r>
      </w:hyperlink>
      <w:r w:rsidR="003A2E30">
        <w:rPr>
          <w:rFonts w:ascii="Arial" w:eastAsia="Times New Roman" w:hAnsi="Arial" w:cs="Arial"/>
          <w:sz w:val="22"/>
          <w:szCs w:val="22"/>
          <w:shd w:val="clear" w:color="auto" w:fill="FFFFFF"/>
          <w:lang w:eastAsia="en-GB"/>
        </w:rPr>
        <w:t xml:space="preserve"> provides the following definitions:</w:t>
      </w:r>
    </w:p>
    <w:p w:rsidR="003A2E30" w:rsidRPr="003A2E30" w:rsidRDefault="003A2E30" w:rsidP="003A2E30">
      <w:pPr>
        <w:pStyle w:val="ListParagraph"/>
        <w:rPr>
          <w:rFonts w:ascii="Arial" w:eastAsia="Times New Roman" w:hAnsi="Arial" w:cs="Arial"/>
          <w:sz w:val="22"/>
          <w:szCs w:val="22"/>
          <w:shd w:val="clear" w:color="auto" w:fill="FFFFFF"/>
          <w:lang w:eastAsia="en-GB"/>
        </w:rPr>
      </w:pPr>
    </w:p>
    <w:p w:rsidR="003A2E30" w:rsidRDefault="003A2E30" w:rsidP="00A9150E">
      <w:pPr>
        <w:pStyle w:val="ListParagraph"/>
        <w:numPr>
          <w:ilvl w:val="0"/>
          <w:numId w:val="40"/>
        </w:numPr>
        <w:rPr>
          <w:rFonts w:ascii="Arial" w:eastAsia="Times New Roman" w:hAnsi="Arial" w:cs="Arial"/>
          <w:sz w:val="22"/>
          <w:szCs w:val="22"/>
          <w:shd w:val="clear" w:color="auto" w:fill="FFFFFF"/>
          <w:lang w:eastAsia="en-GB"/>
        </w:rPr>
      </w:pPr>
      <w:r>
        <w:rPr>
          <w:rFonts w:ascii="Arial" w:eastAsia="Times New Roman" w:hAnsi="Arial" w:cs="Arial"/>
          <w:b/>
          <w:bCs/>
          <w:sz w:val="22"/>
          <w:szCs w:val="22"/>
          <w:shd w:val="clear" w:color="auto" w:fill="FFFFFF"/>
          <w:lang w:eastAsia="en-GB"/>
        </w:rPr>
        <w:t xml:space="preserve">Gillick competence: </w:t>
      </w:r>
      <w:r>
        <w:rPr>
          <w:rFonts w:ascii="Arial" w:eastAsia="Times New Roman" w:hAnsi="Arial" w:cs="Arial"/>
          <w:sz w:val="22"/>
          <w:szCs w:val="22"/>
          <w:shd w:val="clear" w:color="auto" w:fill="FFFFFF"/>
          <w:lang w:eastAsia="en-GB"/>
        </w:rPr>
        <w:t>Is concerned with determining a child’s capacity to consent. Children under 16 can consent if they have sufficient understanding and intelligence to fully understand what is involved</w:t>
      </w:r>
      <w:r w:rsidR="0081748F">
        <w:rPr>
          <w:rFonts w:ascii="Arial" w:eastAsia="Times New Roman" w:hAnsi="Arial" w:cs="Arial"/>
          <w:sz w:val="22"/>
          <w:szCs w:val="22"/>
          <w:shd w:val="clear" w:color="auto" w:fill="FFFFFF"/>
          <w:lang w:eastAsia="en-GB"/>
        </w:rPr>
        <w:t xml:space="preserve"> in a proposed treatment.</w:t>
      </w:r>
    </w:p>
    <w:p w:rsidR="0081748F" w:rsidRDefault="0081748F" w:rsidP="0081748F">
      <w:pPr>
        <w:rPr>
          <w:rFonts w:ascii="Arial" w:eastAsia="Times New Roman" w:hAnsi="Arial" w:cs="Arial"/>
          <w:sz w:val="22"/>
          <w:szCs w:val="22"/>
          <w:shd w:val="clear" w:color="auto" w:fill="FFFFFF"/>
          <w:lang w:eastAsia="en-GB"/>
        </w:rPr>
      </w:pPr>
    </w:p>
    <w:p w:rsidR="00A80C1E" w:rsidRPr="0081748F" w:rsidRDefault="0081748F" w:rsidP="00F07FF4">
      <w:pPr>
        <w:pStyle w:val="ListParagraph"/>
        <w:numPr>
          <w:ilvl w:val="0"/>
          <w:numId w:val="40"/>
        </w:numPr>
        <w:rPr>
          <w:rFonts w:ascii="Arial" w:eastAsia="Times New Roman" w:hAnsi="Arial" w:cs="Arial"/>
          <w:sz w:val="22"/>
          <w:szCs w:val="22"/>
          <w:shd w:val="clear" w:color="auto" w:fill="FFFFFF"/>
          <w:lang w:eastAsia="en-GB"/>
        </w:rPr>
      </w:pPr>
      <w:r>
        <w:rPr>
          <w:rFonts w:ascii="Arial" w:eastAsia="Times New Roman" w:hAnsi="Arial" w:cs="Arial"/>
          <w:b/>
          <w:bCs/>
          <w:sz w:val="22"/>
          <w:szCs w:val="22"/>
          <w:shd w:val="clear" w:color="auto" w:fill="FFFFFF"/>
          <w:lang w:eastAsia="en-GB"/>
        </w:rPr>
        <w:t xml:space="preserve">Fraser guidelines: </w:t>
      </w:r>
      <w:r>
        <w:rPr>
          <w:rFonts w:ascii="Arial" w:hAnsi="Arial" w:cs="Arial"/>
          <w:sz w:val="22"/>
          <w:szCs w:val="22"/>
        </w:rPr>
        <w:t>S</w:t>
      </w:r>
      <w:r w:rsidR="00A80C1E" w:rsidRPr="0081748F">
        <w:rPr>
          <w:rFonts w:ascii="Arial" w:hAnsi="Arial" w:cs="Arial"/>
          <w:sz w:val="22"/>
          <w:szCs w:val="22"/>
        </w:rPr>
        <w:t xml:space="preserve">pecifically </w:t>
      </w:r>
      <w:r>
        <w:rPr>
          <w:rFonts w:ascii="Arial" w:hAnsi="Arial" w:cs="Arial"/>
          <w:sz w:val="22"/>
          <w:szCs w:val="22"/>
        </w:rPr>
        <w:t xml:space="preserve">relate only </w:t>
      </w:r>
      <w:r w:rsidR="00A80C1E" w:rsidRPr="0081748F">
        <w:rPr>
          <w:rFonts w:ascii="Arial" w:hAnsi="Arial" w:cs="Arial"/>
          <w:sz w:val="22"/>
          <w:szCs w:val="22"/>
        </w:rPr>
        <w:t xml:space="preserve">to </w:t>
      </w:r>
      <w:r>
        <w:rPr>
          <w:rFonts w:ascii="Arial" w:hAnsi="Arial" w:cs="Arial"/>
          <w:sz w:val="22"/>
          <w:szCs w:val="22"/>
        </w:rPr>
        <w:t>contraception and sexual health.</w:t>
      </w:r>
      <w:r w:rsidR="00A80C1E" w:rsidRPr="0081748F">
        <w:rPr>
          <w:rFonts w:ascii="Arial" w:hAnsi="Arial" w:cs="Arial"/>
          <w:sz w:val="22"/>
          <w:szCs w:val="22"/>
        </w:rPr>
        <w:t xml:space="preserve"> They may be used by healthcare professionals working with under 16-year-olds.</w:t>
      </w:r>
    </w:p>
    <w:p w:rsidR="00CD211E" w:rsidRPr="00911143" w:rsidRDefault="00CD211E" w:rsidP="00CD211E">
      <w:pPr>
        <w:pStyle w:val="Heading1"/>
        <w:keepLines/>
        <w:pBdr>
          <w:bottom w:val="single" w:sz="4" w:space="1" w:color="595959" w:themeColor="text1" w:themeTint="A6"/>
        </w:pBdr>
        <w:spacing w:before="360" w:after="160" w:line="259" w:lineRule="auto"/>
        <w:rPr>
          <w:sz w:val="28"/>
          <w:szCs w:val="28"/>
        </w:rPr>
      </w:pPr>
      <w:bookmarkStart w:id="39" w:name="_Hlk43389072"/>
      <w:bookmarkStart w:id="40" w:name="_Toc185410490"/>
      <w:r w:rsidRPr="00911143">
        <w:rPr>
          <w:sz w:val="28"/>
          <w:szCs w:val="28"/>
        </w:rPr>
        <w:t>Policy</w:t>
      </w:r>
      <w:bookmarkEnd w:id="40"/>
    </w:p>
    <w:p w:rsidR="00CD211E" w:rsidRPr="00F86258" w:rsidRDefault="009A0063" w:rsidP="00CD211E">
      <w:pPr>
        <w:pStyle w:val="Heading2"/>
        <w:rPr>
          <w:rFonts w:ascii="Arial" w:hAnsi="Arial" w:cs="Arial"/>
          <w:smallCaps w:val="0"/>
          <w:sz w:val="24"/>
          <w:szCs w:val="24"/>
          <w:lang w:val="en-GB"/>
        </w:rPr>
      </w:pPr>
      <w:bookmarkStart w:id="41" w:name="_Toc185410491"/>
      <w:bookmarkEnd w:id="39"/>
      <w:r w:rsidRPr="00F86258">
        <w:rPr>
          <w:rFonts w:ascii="Arial" w:hAnsi="Arial" w:cs="Arial"/>
          <w:smallCaps w:val="0"/>
          <w:sz w:val="24"/>
          <w:szCs w:val="24"/>
          <w:lang w:val="en-GB"/>
        </w:rPr>
        <w:t>General o</w:t>
      </w:r>
      <w:r w:rsidR="007A0CF7" w:rsidRPr="00F86258">
        <w:rPr>
          <w:rFonts w:ascii="Arial" w:hAnsi="Arial" w:cs="Arial"/>
          <w:smallCaps w:val="0"/>
          <w:sz w:val="24"/>
          <w:szCs w:val="24"/>
          <w:lang w:val="en-GB"/>
        </w:rPr>
        <w:t>verview</w:t>
      </w:r>
      <w:bookmarkEnd w:id="41"/>
    </w:p>
    <w:p w:rsidR="00CD211E" w:rsidRPr="00F86258" w:rsidRDefault="00CD211E" w:rsidP="00CD211E"/>
    <w:p w:rsidR="00A02A09" w:rsidRDefault="00A02A09" w:rsidP="00486CBB">
      <w:pPr>
        <w:pStyle w:val="NormalWeb"/>
        <w:shd w:val="clear" w:color="auto" w:fill="FFFFFF"/>
        <w:spacing w:before="0" w:beforeAutospacing="0" w:after="0" w:afterAutospacing="0"/>
        <w:rPr>
          <w:rFonts w:ascii="Arial" w:hAnsi="Arial" w:cs="Arial"/>
          <w:color w:val="000000" w:themeColor="text1"/>
          <w:sz w:val="22"/>
          <w:szCs w:val="22"/>
        </w:rPr>
      </w:pPr>
      <w:r w:rsidRPr="00547EA4">
        <w:rPr>
          <w:rFonts w:ascii="Arial" w:hAnsi="Arial" w:cs="Arial"/>
          <w:sz w:val="22"/>
          <w:szCs w:val="22"/>
        </w:rPr>
        <w:t>NHS England</w:t>
      </w:r>
      <w:r>
        <w:rPr>
          <w:rFonts w:ascii="Arial" w:hAnsi="Arial" w:cs="Arial"/>
          <w:color w:val="000000" w:themeColor="text1"/>
          <w:sz w:val="22"/>
          <w:szCs w:val="22"/>
        </w:rPr>
        <w:t xml:space="preserve"> explain</w:t>
      </w:r>
      <w:r w:rsidR="00D14C05">
        <w:rPr>
          <w:rFonts w:ascii="Arial" w:hAnsi="Arial" w:cs="Arial"/>
          <w:color w:val="000000" w:themeColor="text1"/>
          <w:sz w:val="22"/>
          <w:szCs w:val="22"/>
        </w:rPr>
        <w:t>s</w:t>
      </w:r>
      <w:r>
        <w:rPr>
          <w:rFonts w:ascii="Arial" w:hAnsi="Arial" w:cs="Arial"/>
          <w:color w:val="000000" w:themeColor="text1"/>
          <w:sz w:val="22"/>
          <w:szCs w:val="22"/>
        </w:rPr>
        <w:t xml:space="preserve"> that for consent to be valid, it must be voluntary and informed, and the person consenting must have the capacity to make the decision. If an adult has the capacity to make a voluntary and informed decision to consent or refuse a particular treatment, their decision must be respected. </w:t>
      </w:r>
    </w:p>
    <w:p w:rsidR="00A02A09" w:rsidRDefault="00A02A09" w:rsidP="00486CBB">
      <w:pPr>
        <w:pStyle w:val="NormalWeb"/>
        <w:shd w:val="clear" w:color="auto" w:fill="FFFFFF"/>
        <w:spacing w:before="0" w:beforeAutospacing="0" w:after="0" w:afterAutospacing="0"/>
        <w:rPr>
          <w:rFonts w:ascii="Arial" w:hAnsi="Arial" w:cs="Arial"/>
          <w:color w:val="000000" w:themeColor="text1"/>
          <w:sz w:val="22"/>
          <w:szCs w:val="22"/>
        </w:rPr>
      </w:pPr>
    </w:p>
    <w:p w:rsidR="00A02A09" w:rsidRDefault="00A02A09" w:rsidP="00486CBB">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If a person does not have the capacity to make a decision about their treatment and they have not appointed a lasting power of attorney (LPA), the healthcare professional(s) treating them can </w:t>
      </w:r>
      <w:r w:rsidR="00D14C05">
        <w:rPr>
          <w:rFonts w:ascii="Arial" w:hAnsi="Arial" w:cs="Arial"/>
          <w:color w:val="000000" w:themeColor="text1"/>
          <w:sz w:val="22"/>
          <w:szCs w:val="22"/>
        </w:rPr>
        <w:t>proceed to</w:t>
      </w:r>
      <w:r>
        <w:rPr>
          <w:rFonts w:ascii="Arial" w:hAnsi="Arial" w:cs="Arial"/>
          <w:color w:val="000000" w:themeColor="text1"/>
          <w:sz w:val="22"/>
          <w:szCs w:val="22"/>
        </w:rPr>
        <w:t xml:space="preserve"> give treatment if they believe</w:t>
      </w:r>
      <w:r w:rsidR="00D14C05">
        <w:rPr>
          <w:rFonts w:ascii="Arial" w:hAnsi="Arial" w:cs="Arial"/>
          <w:color w:val="000000" w:themeColor="text1"/>
          <w:sz w:val="22"/>
          <w:szCs w:val="22"/>
        </w:rPr>
        <w:t xml:space="preserve"> this is</w:t>
      </w:r>
      <w:r>
        <w:rPr>
          <w:rFonts w:ascii="Arial" w:hAnsi="Arial" w:cs="Arial"/>
          <w:color w:val="000000" w:themeColor="text1"/>
          <w:sz w:val="22"/>
          <w:szCs w:val="22"/>
        </w:rPr>
        <w:t xml:space="preserve"> in the person</w:t>
      </w:r>
      <w:r w:rsidR="00D14C05">
        <w:rPr>
          <w:rFonts w:ascii="Arial" w:hAnsi="Arial" w:cs="Arial"/>
          <w:color w:val="000000" w:themeColor="text1"/>
          <w:sz w:val="22"/>
          <w:szCs w:val="22"/>
        </w:rPr>
        <w:t>’</w:t>
      </w:r>
      <w:r>
        <w:rPr>
          <w:rFonts w:ascii="Arial" w:hAnsi="Arial" w:cs="Arial"/>
          <w:color w:val="000000" w:themeColor="text1"/>
          <w:sz w:val="22"/>
          <w:szCs w:val="22"/>
        </w:rPr>
        <w:t xml:space="preserve">s best interests. </w:t>
      </w:r>
    </w:p>
    <w:p w:rsidR="00F6213D" w:rsidRPr="004F4BD8" w:rsidRDefault="00F6213D" w:rsidP="00F6213D">
      <w:pPr>
        <w:pStyle w:val="Heading2"/>
        <w:rPr>
          <w:rFonts w:ascii="Arial" w:hAnsi="Arial" w:cs="Arial"/>
          <w:smallCaps w:val="0"/>
          <w:sz w:val="24"/>
          <w:szCs w:val="24"/>
          <w:lang w:val="en-GB"/>
        </w:rPr>
      </w:pPr>
      <w:bookmarkStart w:id="42" w:name="_Toc185410492"/>
      <w:r w:rsidRPr="004F4BD8">
        <w:rPr>
          <w:rFonts w:ascii="Arial" w:hAnsi="Arial" w:cs="Arial"/>
          <w:smallCaps w:val="0"/>
          <w:sz w:val="24"/>
          <w:szCs w:val="24"/>
          <w:lang w:val="en-GB"/>
        </w:rPr>
        <w:t>Key principles for consent</w:t>
      </w:r>
      <w:bookmarkEnd w:id="42"/>
    </w:p>
    <w:p w:rsidR="00F6213D" w:rsidRDefault="00F6213D" w:rsidP="00F6213D">
      <w:pPr>
        <w:pStyle w:val="NormalWeb"/>
        <w:shd w:val="clear" w:color="auto" w:fill="FFFFFF"/>
        <w:spacing w:before="0" w:beforeAutospacing="0" w:after="0" w:afterAutospacing="0"/>
        <w:rPr>
          <w:rFonts w:ascii="Arial" w:hAnsi="Arial" w:cs="Arial"/>
          <w:color w:val="000000" w:themeColor="text1"/>
          <w:sz w:val="22"/>
          <w:szCs w:val="22"/>
        </w:rPr>
      </w:pPr>
    </w:p>
    <w:p w:rsidR="00F6213D" w:rsidRDefault="00BF2532" w:rsidP="00F6213D">
      <w:pPr>
        <w:pStyle w:val="NormalWeb"/>
        <w:shd w:val="clear" w:color="auto" w:fill="FFFFFF"/>
        <w:spacing w:before="0" w:beforeAutospacing="0" w:after="0" w:afterAutospacing="0"/>
        <w:rPr>
          <w:rFonts w:ascii="Arial" w:hAnsi="Arial" w:cs="Arial"/>
          <w:color w:val="000000" w:themeColor="text1"/>
          <w:sz w:val="22"/>
          <w:szCs w:val="22"/>
        </w:rPr>
      </w:pPr>
      <w:r w:rsidRPr="00132437">
        <w:rPr>
          <w:rFonts w:ascii="Arial" w:hAnsi="Arial" w:cs="Arial"/>
          <w:color w:val="000000" w:themeColor="text1"/>
          <w:sz w:val="22"/>
          <w:szCs w:val="22"/>
        </w:rPr>
        <w:t xml:space="preserve">Clinicians must be mindful that a patient’s capacity to give consent may be temporarily affected by factors such as pain, fatigue, illness or the side effects of medication. In such cases, clinicians must not assume the patient does not have the capacity to consent. </w:t>
      </w:r>
    </w:p>
    <w:p w:rsidR="00A02A09" w:rsidRDefault="00A02A09" w:rsidP="00F6213D">
      <w:pPr>
        <w:pStyle w:val="NormalWeb"/>
        <w:shd w:val="clear" w:color="auto" w:fill="FFFFFF"/>
        <w:spacing w:before="0" w:beforeAutospacing="0" w:after="0" w:afterAutospacing="0"/>
        <w:rPr>
          <w:rFonts w:ascii="Arial" w:hAnsi="Arial" w:cs="Arial"/>
          <w:color w:val="000000" w:themeColor="text1"/>
          <w:sz w:val="22"/>
          <w:szCs w:val="22"/>
        </w:rPr>
      </w:pPr>
    </w:p>
    <w:p w:rsidR="00A02A09" w:rsidRDefault="00A02A09" w:rsidP="00F6213D">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At this organisation, clinicians are to adhere to the General Medical Council (GMC) </w:t>
      </w:r>
      <w:hyperlink r:id="rId14" w:history="1">
        <w:r w:rsidRPr="00A02A09">
          <w:rPr>
            <w:rStyle w:val="Hyperlink"/>
            <w:rFonts w:ascii="Arial" w:hAnsi="Arial" w:cs="Arial"/>
            <w:sz w:val="22"/>
            <w:szCs w:val="22"/>
          </w:rPr>
          <w:t>Decision making and consent guidance</w:t>
        </w:r>
      </w:hyperlink>
      <w:r>
        <w:rPr>
          <w:rFonts w:ascii="Arial" w:hAnsi="Arial" w:cs="Arial"/>
          <w:color w:val="000000" w:themeColor="text1"/>
          <w:sz w:val="22"/>
          <w:szCs w:val="22"/>
        </w:rPr>
        <w:t xml:space="preserve"> which details the seven principles of decision making and consent:</w:t>
      </w:r>
    </w:p>
    <w:p w:rsidR="00A02A09" w:rsidRDefault="00A02A09" w:rsidP="00F6213D">
      <w:pPr>
        <w:pStyle w:val="NormalWeb"/>
        <w:shd w:val="clear" w:color="auto" w:fill="FFFFFF"/>
        <w:spacing w:before="0" w:beforeAutospacing="0" w:after="0" w:afterAutospacing="0"/>
        <w:rPr>
          <w:rFonts w:ascii="Arial" w:hAnsi="Arial" w:cs="Arial"/>
          <w:color w:val="000000" w:themeColor="text1"/>
          <w:sz w:val="22"/>
          <w:szCs w:val="22"/>
        </w:rPr>
      </w:pPr>
    </w:p>
    <w:p w:rsidR="00A02A09" w:rsidRDefault="00A02A09" w:rsidP="00A02A09">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All patients have the right to be involved in decisions about their treatment and care and be supported to make informed decisions if they are able.</w:t>
      </w:r>
    </w:p>
    <w:p w:rsidR="00A02A09" w:rsidRDefault="00A02A09" w:rsidP="00A02A09">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Decision making is an ongoing process focused on meaningful dialogue: the exchange of relevant information specific to the individual patient.</w:t>
      </w:r>
    </w:p>
    <w:p w:rsidR="00A02A09" w:rsidRDefault="00A02A09" w:rsidP="00A02A09">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All patients have the right to be listened to, and to be given the information they need to make an informed decision and the time and support they need to understand it.</w:t>
      </w:r>
    </w:p>
    <w:p w:rsidR="00A02A09" w:rsidRPr="00863B81" w:rsidRDefault="00A02A09" w:rsidP="00A02A09">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sidRPr="00863B81">
        <w:rPr>
          <w:rFonts w:ascii="Arial" w:hAnsi="Arial" w:cs="Arial"/>
          <w:color w:val="000000" w:themeColor="text1"/>
          <w:sz w:val="22"/>
          <w:szCs w:val="22"/>
        </w:rPr>
        <w:t>Doctors must try to find out what matters to patients so they can share relevant information about the benefits and harms of proposed options and reasonable alternatives, including the option to take no action.</w:t>
      </w:r>
    </w:p>
    <w:p w:rsidR="00A02A09" w:rsidRPr="00863B81" w:rsidRDefault="00863B81" w:rsidP="00A02A09">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sidRPr="00863B81">
        <w:rPr>
          <w:rFonts w:ascii="Arial" w:hAnsi="Arial" w:cs="Arial"/>
          <w:color w:val="000000" w:themeColor="text1"/>
          <w:sz w:val="22"/>
          <w:szCs w:val="22"/>
        </w:rPr>
        <w:t>Doctors must start from the presumption that all adult patients have capacity to make decisions about their treatment and care. A patient can only be judged to lack capacity to make a specific decision at a specific time, and only after assessment in line with legal requirements.</w:t>
      </w:r>
    </w:p>
    <w:p w:rsidR="00863B81" w:rsidRDefault="00863B81" w:rsidP="00A02A09">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sidRPr="00863B81">
        <w:rPr>
          <w:rFonts w:ascii="Arial" w:hAnsi="Arial" w:cs="Arial"/>
          <w:color w:val="000000" w:themeColor="text1"/>
          <w:sz w:val="22"/>
          <w:szCs w:val="22"/>
        </w:rPr>
        <w:lastRenderedPageBreak/>
        <w:t xml:space="preserve">The choice of </w:t>
      </w:r>
      <w:r>
        <w:rPr>
          <w:rFonts w:ascii="Arial" w:hAnsi="Arial" w:cs="Arial"/>
          <w:color w:val="000000" w:themeColor="text1"/>
          <w:sz w:val="22"/>
          <w:szCs w:val="22"/>
        </w:rPr>
        <w:t>treatment or care for patients who lack capacity must be of overall benefit to them, and decisions should be made in consultation with those who are close to them or advocating for them.</w:t>
      </w:r>
    </w:p>
    <w:p w:rsidR="00951666" w:rsidRPr="00863B81" w:rsidRDefault="00863B81" w:rsidP="004F4BD8">
      <w:pPr>
        <w:pStyle w:val="NormalWeb"/>
        <w:numPr>
          <w:ilvl w:val="0"/>
          <w:numId w:val="4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Patients whose right to consent is affected by law should be supported to be involved in the decision-making process and to exercise choice if possible</w:t>
      </w:r>
    </w:p>
    <w:p w:rsidR="00CD211E" w:rsidRPr="006C564D" w:rsidRDefault="009A0063" w:rsidP="008C11B9">
      <w:pPr>
        <w:pStyle w:val="Heading2"/>
        <w:rPr>
          <w:rFonts w:ascii="Arial" w:hAnsi="Arial" w:cs="Arial"/>
          <w:smallCaps w:val="0"/>
          <w:sz w:val="24"/>
          <w:szCs w:val="24"/>
          <w:lang w:val="en-GB"/>
        </w:rPr>
      </w:pPr>
      <w:bookmarkStart w:id="43" w:name="_Toc145510403"/>
      <w:bookmarkStart w:id="44" w:name="_Toc145510458"/>
      <w:bookmarkStart w:id="45" w:name="_Toc145510878"/>
      <w:bookmarkStart w:id="46" w:name="_Toc145510404"/>
      <w:bookmarkStart w:id="47" w:name="_Toc145510459"/>
      <w:bookmarkStart w:id="48" w:name="_Toc145510879"/>
      <w:bookmarkStart w:id="49" w:name="_Toc43391058"/>
      <w:bookmarkStart w:id="50" w:name="_Toc43391312"/>
      <w:bookmarkStart w:id="51" w:name="_Toc185410493"/>
      <w:bookmarkEnd w:id="43"/>
      <w:bookmarkEnd w:id="44"/>
      <w:bookmarkEnd w:id="45"/>
      <w:bookmarkEnd w:id="46"/>
      <w:bookmarkEnd w:id="47"/>
      <w:bookmarkEnd w:id="48"/>
      <w:bookmarkEnd w:id="49"/>
      <w:bookmarkEnd w:id="50"/>
      <w:r w:rsidRPr="006C564D">
        <w:rPr>
          <w:rFonts w:ascii="Arial" w:hAnsi="Arial" w:cs="Arial"/>
          <w:smallCaps w:val="0"/>
          <w:sz w:val="24"/>
          <w:szCs w:val="24"/>
          <w:lang w:val="en-GB"/>
        </w:rPr>
        <w:t>Giving c</w:t>
      </w:r>
      <w:r w:rsidR="007A0CF7" w:rsidRPr="006C564D">
        <w:rPr>
          <w:rFonts w:ascii="Arial" w:hAnsi="Arial" w:cs="Arial"/>
          <w:smallCaps w:val="0"/>
          <w:sz w:val="24"/>
          <w:szCs w:val="24"/>
          <w:lang w:val="en-GB"/>
        </w:rPr>
        <w:t>onsent</w:t>
      </w:r>
      <w:bookmarkEnd w:id="51"/>
    </w:p>
    <w:p w:rsidR="008C11B9" w:rsidRPr="00E31DC0" w:rsidRDefault="008C11B9" w:rsidP="009A0063">
      <w:pPr>
        <w:pStyle w:val="NormalWeb"/>
        <w:shd w:val="clear" w:color="auto" w:fill="FFFFFF"/>
        <w:spacing w:before="0" w:beforeAutospacing="0" w:after="0" w:afterAutospacing="0" w:line="336" w:lineRule="atLeast"/>
        <w:rPr>
          <w:rFonts w:ascii="Arial" w:hAnsi="Arial" w:cs="Arial"/>
          <w:color w:val="000000" w:themeColor="text1"/>
          <w:sz w:val="22"/>
          <w:szCs w:val="22"/>
        </w:rPr>
      </w:pPr>
    </w:p>
    <w:p w:rsidR="009A0063" w:rsidRDefault="00A9594C" w:rsidP="008C11B9">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 patient may give their c</w:t>
      </w:r>
      <w:r w:rsidRPr="00FE0A3F">
        <w:rPr>
          <w:rFonts w:ascii="Arial" w:hAnsi="Arial" w:cs="Arial"/>
          <w:color w:val="000000" w:themeColor="text1"/>
          <w:sz w:val="22"/>
          <w:szCs w:val="22"/>
        </w:rPr>
        <w:t xml:space="preserve">onsent </w:t>
      </w:r>
      <w:r w:rsidR="009A0063" w:rsidRPr="00FE0A3F">
        <w:rPr>
          <w:rFonts w:ascii="Arial" w:hAnsi="Arial" w:cs="Arial"/>
          <w:color w:val="000000" w:themeColor="text1"/>
          <w:sz w:val="22"/>
          <w:szCs w:val="22"/>
        </w:rPr>
        <w:t xml:space="preserve">in </w:t>
      </w:r>
      <w:r>
        <w:rPr>
          <w:rFonts w:ascii="Arial" w:hAnsi="Arial" w:cs="Arial"/>
          <w:color w:val="000000" w:themeColor="text1"/>
          <w:sz w:val="22"/>
          <w:szCs w:val="22"/>
        </w:rPr>
        <w:t>the following</w:t>
      </w:r>
      <w:r w:rsidRPr="00FE0A3F">
        <w:rPr>
          <w:rFonts w:ascii="Arial" w:hAnsi="Arial" w:cs="Arial"/>
          <w:color w:val="000000" w:themeColor="text1"/>
          <w:sz w:val="22"/>
          <w:szCs w:val="22"/>
        </w:rPr>
        <w:t xml:space="preserve"> </w:t>
      </w:r>
      <w:r w:rsidR="009A0063" w:rsidRPr="00FE0A3F">
        <w:rPr>
          <w:rFonts w:ascii="Arial" w:hAnsi="Arial" w:cs="Arial"/>
          <w:color w:val="000000" w:themeColor="text1"/>
          <w:sz w:val="22"/>
          <w:szCs w:val="22"/>
        </w:rPr>
        <w:t>ways:</w:t>
      </w:r>
    </w:p>
    <w:p w:rsidR="00A9594C" w:rsidRDefault="00A9594C" w:rsidP="008C11B9">
      <w:pPr>
        <w:pStyle w:val="NormalWeb"/>
        <w:shd w:val="clear" w:color="auto" w:fill="FFFFFF"/>
        <w:spacing w:before="0" w:beforeAutospacing="0" w:after="0" w:afterAutospacing="0"/>
        <w:rPr>
          <w:rFonts w:ascii="Arial" w:hAnsi="Arial" w:cs="Arial"/>
          <w:color w:val="000000" w:themeColor="text1"/>
          <w:sz w:val="22"/>
          <w:szCs w:val="22"/>
        </w:rPr>
      </w:pPr>
    </w:p>
    <w:tbl>
      <w:tblPr>
        <w:tblStyle w:val="TableGrid"/>
        <w:tblW w:w="0" w:type="auto"/>
        <w:tblInd w:w="-5" w:type="dxa"/>
        <w:tblLook w:val="04A0"/>
      </w:tblPr>
      <w:tblGrid>
        <w:gridCol w:w="1652"/>
        <w:gridCol w:w="6684"/>
      </w:tblGrid>
      <w:tr w:rsidR="00A9594C" w:rsidRPr="00A9594C" w:rsidTr="00E87357">
        <w:tc>
          <w:tcPr>
            <w:tcW w:w="1652" w:type="dxa"/>
            <w:shd w:val="clear" w:color="auto" w:fill="4472C4" w:themeFill="accent1"/>
          </w:tcPr>
          <w:p w:rsidR="00A9594C" w:rsidRPr="00E87357" w:rsidRDefault="00A9594C" w:rsidP="00E87357">
            <w:pPr>
              <w:pStyle w:val="NormalWeb"/>
              <w:spacing w:before="120" w:beforeAutospacing="0" w:after="120" w:afterAutospacing="0"/>
              <w:rPr>
                <w:rFonts w:ascii="Arial" w:hAnsi="Arial" w:cs="Arial"/>
                <w:b/>
                <w:bCs/>
                <w:color w:val="FFFFFF" w:themeColor="background1"/>
                <w:sz w:val="22"/>
                <w:szCs w:val="22"/>
              </w:rPr>
            </w:pPr>
            <w:r w:rsidRPr="00E87357">
              <w:rPr>
                <w:rFonts w:ascii="Arial" w:hAnsi="Arial" w:cs="Arial"/>
                <w:b/>
                <w:bCs/>
                <w:color w:val="FFFFFF" w:themeColor="background1"/>
                <w:sz w:val="22"/>
                <w:szCs w:val="22"/>
              </w:rPr>
              <w:t>Type</w:t>
            </w:r>
          </w:p>
        </w:tc>
        <w:tc>
          <w:tcPr>
            <w:tcW w:w="6684" w:type="dxa"/>
            <w:shd w:val="clear" w:color="auto" w:fill="4472C4" w:themeFill="accent1"/>
          </w:tcPr>
          <w:p w:rsidR="00A9594C" w:rsidRPr="00E87357" w:rsidRDefault="00A9594C" w:rsidP="00E87357">
            <w:pPr>
              <w:pStyle w:val="NormalWeb"/>
              <w:spacing w:before="120" w:beforeAutospacing="0" w:after="120" w:afterAutospacing="0"/>
              <w:rPr>
                <w:rFonts w:ascii="Arial" w:hAnsi="Arial" w:cs="Arial"/>
                <w:b/>
                <w:bCs/>
                <w:color w:val="FFFFFF" w:themeColor="background1"/>
                <w:sz w:val="22"/>
                <w:szCs w:val="22"/>
              </w:rPr>
            </w:pPr>
            <w:r w:rsidRPr="00E87357">
              <w:rPr>
                <w:rFonts w:ascii="Arial" w:hAnsi="Arial" w:cs="Arial"/>
                <w:b/>
                <w:bCs/>
                <w:color w:val="FFFFFF" w:themeColor="background1"/>
                <w:sz w:val="22"/>
                <w:szCs w:val="22"/>
              </w:rPr>
              <w:t>Action</w:t>
            </w:r>
          </w:p>
        </w:tc>
      </w:tr>
      <w:tr w:rsidR="00A9594C" w:rsidTr="00E87357">
        <w:tc>
          <w:tcPr>
            <w:tcW w:w="1652" w:type="dxa"/>
          </w:tcPr>
          <w:p w:rsidR="00A9594C" w:rsidRDefault="00A9594C" w:rsidP="00E87357">
            <w:pPr>
              <w:pStyle w:val="NormalWeb"/>
              <w:spacing w:before="60" w:beforeAutospacing="0" w:after="60" w:afterAutospacing="0"/>
              <w:rPr>
                <w:rFonts w:ascii="Arial" w:hAnsi="Arial" w:cs="Arial"/>
                <w:color w:val="000000" w:themeColor="text1"/>
                <w:sz w:val="22"/>
                <w:szCs w:val="22"/>
              </w:rPr>
            </w:pPr>
            <w:r>
              <w:rPr>
                <w:rFonts w:ascii="Arial" w:hAnsi="Arial" w:cs="Arial"/>
                <w:color w:val="000000" w:themeColor="text1"/>
                <w:sz w:val="22"/>
                <w:szCs w:val="22"/>
              </w:rPr>
              <w:t>Verb</w:t>
            </w:r>
            <w:r w:rsidRPr="00CC351B">
              <w:rPr>
                <w:rFonts w:ascii="Arial" w:hAnsi="Arial" w:cs="Arial"/>
                <w:color w:val="000000" w:themeColor="text1"/>
                <w:sz w:val="22"/>
                <w:szCs w:val="22"/>
              </w:rPr>
              <w:t>ally</w:t>
            </w:r>
          </w:p>
        </w:tc>
        <w:tc>
          <w:tcPr>
            <w:tcW w:w="6684" w:type="dxa"/>
          </w:tcPr>
          <w:p w:rsidR="00A9594C" w:rsidRDefault="00A9594C" w:rsidP="00E87357">
            <w:pPr>
              <w:pStyle w:val="NormalWeb"/>
              <w:spacing w:before="60" w:beforeAutospacing="0" w:after="60" w:afterAutospacing="0"/>
              <w:rPr>
                <w:rFonts w:ascii="Arial" w:hAnsi="Arial" w:cs="Arial"/>
                <w:color w:val="000000" w:themeColor="text1"/>
                <w:sz w:val="22"/>
                <w:szCs w:val="22"/>
              </w:rPr>
            </w:pPr>
            <w:r>
              <w:rPr>
                <w:rFonts w:ascii="Arial" w:hAnsi="Arial" w:cs="Arial"/>
                <w:color w:val="000000" w:themeColor="text1"/>
                <w:sz w:val="22"/>
                <w:szCs w:val="22"/>
              </w:rPr>
              <w:t>C</w:t>
            </w:r>
            <w:r w:rsidRPr="00CC351B">
              <w:rPr>
                <w:rFonts w:ascii="Arial" w:hAnsi="Arial" w:cs="Arial"/>
                <w:color w:val="000000" w:themeColor="text1"/>
                <w:sz w:val="22"/>
                <w:szCs w:val="22"/>
              </w:rPr>
              <w:t>onsenting to an examination or procedure such as an injection by word of mouth</w:t>
            </w:r>
          </w:p>
        </w:tc>
      </w:tr>
      <w:tr w:rsidR="00A9594C" w:rsidTr="00E87357">
        <w:tc>
          <w:tcPr>
            <w:tcW w:w="1652" w:type="dxa"/>
            <w:tcBorders>
              <w:bottom w:val="single" w:sz="4" w:space="0" w:color="auto"/>
            </w:tcBorders>
          </w:tcPr>
          <w:p w:rsidR="00A9594C" w:rsidRDefault="00A9594C" w:rsidP="00E87357">
            <w:pPr>
              <w:pStyle w:val="NormalWeb"/>
              <w:spacing w:before="60" w:beforeAutospacing="0" w:after="60" w:afterAutospacing="0"/>
              <w:rPr>
                <w:rFonts w:ascii="Arial" w:hAnsi="Arial" w:cs="Arial"/>
                <w:color w:val="000000" w:themeColor="text1"/>
                <w:sz w:val="22"/>
                <w:szCs w:val="22"/>
              </w:rPr>
            </w:pPr>
            <w:r w:rsidRPr="00E31DC0">
              <w:rPr>
                <w:rFonts w:ascii="Arial" w:hAnsi="Arial" w:cs="Arial"/>
                <w:color w:val="000000" w:themeColor="text1"/>
                <w:sz w:val="22"/>
                <w:szCs w:val="22"/>
              </w:rPr>
              <w:t>Written</w:t>
            </w:r>
          </w:p>
        </w:tc>
        <w:tc>
          <w:tcPr>
            <w:tcW w:w="6684" w:type="dxa"/>
            <w:tcBorders>
              <w:bottom w:val="single" w:sz="4" w:space="0" w:color="auto"/>
            </w:tcBorders>
          </w:tcPr>
          <w:p w:rsidR="00A9594C" w:rsidRDefault="00A9594C" w:rsidP="00E87357">
            <w:pPr>
              <w:pStyle w:val="NormalWeb"/>
              <w:spacing w:before="60" w:beforeAutospacing="0" w:after="60" w:afterAutospacing="0"/>
              <w:rPr>
                <w:rFonts w:ascii="Arial" w:hAnsi="Arial" w:cs="Arial"/>
                <w:color w:val="000000" w:themeColor="text1"/>
                <w:sz w:val="22"/>
                <w:szCs w:val="22"/>
              </w:rPr>
            </w:pPr>
            <w:r>
              <w:rPr>
                <w:rFonts w:ascii="Arial" w:hAnsi="Arial" w:cs="Arial"/>
                <w:color w:val="000000" w:themeColor="text1"/>
                <w:sz w:val="22"/>
                <w:szCs w:val="22"/>
              </w:rPr>
              <w:t>S</w:t>
            </w:r>
            <w:r w:rsidRPr="00E31DC0">
              <w:rPr>
                <w:rFonts w:ascii="Arial" w:hAnsi="Arial" w:cs="Arial"/>
                <w:color w:val="000000" w:themeColor="text1"/>
                <w:sz w:val="22"/>
                <w:szCs w:val="22"/>
              </w:rPr>
              <w:t>igning a consent form for minor surgery or other procedures</w:t>
            </w:r>
          </w:p>
        </w:tc>
      </w:tr>
      <w:tr w:rsidR="00A9594C" w:rsidTr="00E87357">
        <w:tc>
          <w:tcPr>
            <w:tcW w:w="1652" w:type="dxa"/>
            <w:tcBorders>
              <w:bottom w:val="single" w:sz="4" w:space="0" w:color="auto"/>
            </w:tcBorders>
          </w:tcPr>
          <w:p w:rsidR="00A9594C" w:rsidRDefault="00A9594C" w:rsidP="00E87357">
            <w:pPr>
              <w:pStyle w:val="NormalWeb"/>
              <w:spacing w:before="60" w:beforeAutospacing="0" w:after="60" w:afterAutospacing="0"/>
              <w:rPr>
                <w:rFonts w:ascii="Arial" w:hAnsi="Arial" w:cs="Arial"/>
                <w:color w:val="000000" w:themeColor="text1"/>
                <w:sz w:val="22"/>
                <w:szCs w:val="22"/>
              </w:rPr>
            </w:pPr>
            <w:r>
              <w:rPr>
                <w:rFonts w:ascii="Arial" w:hAnsi="Arial" w:cs="Arial"/>
                <w:color w:val="000000" w:themeColor="text1"/>
                <w:sz w:val="22"/>
                <w:szCs w:val="22"/>
              </w:rPr>
              <w:t>Implied or non-verbal</w:t>
            </w:r>
          </w:p>
        </w:tc>
        <w:tc>
          <w:tcPr>
            <w:tcW w:w="6684" w:type="dxa"/>
            <w:tcBorders>
              <w:bottom w:val="single" w:sz="4" w:space="0" w:color="auto"/>
            </w:tcBorders>
          </w:tcPr>
          <w:p w:rsidR="00D765F3" w:rsidRDefault="00A9594C" w:rsidP="00D765F3">
            <w:pPr>
              <w:pStyle w:val="NormalWeb"/>
              <w:spacing w:before="60" w:beforeAutospacing="0" w:after="60" w:afterAutospacing="0"/>
              <w:rPr>
                <w:rFonts w:ascii="Arial" w:hAnsi="Arial" w:cs="Arial"/>
                <w:color w:val="000000" w:themeColor="text1"/>
                <w:sz w:val="22"/>
                <w:szCs w:val="22"/>
              </w:rPr>
            </w:pPr>
            <w:r>
              <w:rPr>
                <w:rFonts w:ascii="Arial" w:hAnsi="Arial" w:cs="Arial"/>
                <w:color w:val="000000" w:themeColor="text1"/>
                <w:sz w:val="22"/>
                <w:szCs w:val="22"/>
              </w:rPr>
              <w:t>A</w:t>
            </w:r>
            <w:r w:rsidRPr="00A9594C">
              <w:rPr>
                <w:rFonts w:ascii="Arial" w:hAnsi="Arial" w:cs="Arial"/>
                <w:color w:val="000000" w:themeColor="text1"/>
                <w:sz w:val="22"/>
                <w:szCs w:val="22"/>
              </w:rPr>
              <w:t xml:space="preserve"> patient may</w:t>
            </w:r>
            <w:r w:rsidRPr="008B3A37">
              <w:rPr>
                <w:rFonts w:ascii="Arial" w:hAnsi="Arial" w:cs="Arial"/>
                <w:color w:val="000000" w:themeColor="text1"/>
                <w:sz w:val="22"/>
                <w:szCs w:val="22"/>
              </w:rPr>
              <w:t xml:space="preserve"> also give non-verbal consent as long as they understand the treatment or examination about to take place</w:t>
            </w:r>
            <w:r w:rsidRPr="00A9594C">
              <w:rPr>
                <w:rFonts w:ascii="Arial" w:hAnsi="Arial" w:cs="Arial"/>
                <w:color w:val="000000" w:themeColor="text1"/>
                <w:sz w:val="22"/>
                <w:szCs w:val="22"/>
              </w:rPr>
              <w:t>. An example would be to hold</w:t>
            </w:r>
            <w:r w:rsidRPr="008B3A37">
              <w:rPr>
                <w:rFonts w:ascii="Arial" w:hAnsi="Arial" w:cs="Arial"/>
                <w:color w:val="000000" w:themeColor="text1"/>
                <w:sz w:val="22"/>
                <w:szCs w:val="22"/>
              </w:rPr>
              <w:t xml:space="preserve"> out an arm for a blood test.</w:t>
            </w:r>
          </w:p>
          <w:p w:rsidR="00D765F3" w:rsidRDefault="00D765F3" w:rsidP="00D765F3">
            <w:pPr>
              <w:pStyle w:val="NormalWeb"/>
              <w:spacing w:before="60" w:beforeAutospacing="0" w:after="60" w:afterAutospacing="0"/>
              <w:rPr>
                <w:rFonts w:ascii="Arial" w:hAnsi="Arial" w:cs="Arial"/>
                <w:color w:val="000000" w:themeColor="text1"/>
                <w:sz w:val="22"/>
                <w:szCs w:val="22"/>
              </w:rPr>
            </w:pPr>
          </w:p>
          <w:p w:rsidR="00D765F3" w:rsidRDefault="00D765F3" w:rsidP="00E87357">
            <w:pPr>
              <w:pStyle w:val="NormalWeb"/>
              <w:spacing w:before="60" w:beforeAutospacing="0" w:after="60" w:afterAutospacing="0"/>
              <w:rPr>
                <w:rFonts w:ascii="Arial" w:hAnsi="Arial" w:cs="Arial"/>
                <w:color w:val="000000" w:themeColor="text1"/>
                <w:sz w:val="22"/>
                <w:szCs w:val="22"/>
              </w:rPr>
            </w:pPr>
            <w:r>
              <w:rPr>
                <w:rFonts w:ascii="Arial" w:hAnsi="Arial" w:cs="Arial"/>
                <w:color w:val="000000" w:themeColor="text1"/>
                <w:sz w:val="22"/>
                <w:szCs w:val="22"/>
              </w:rPr>
              <w:t>Implied consent is still valid within a clinical setting.</w:t>
            </w:r>
          </w:p>
        </w:tc>
      </w:tr>
      <w:tr w:rsidR="00D765F3" w:rsidTr="00E87357">
        <w:tc>
          <w:tcPr>
            <w:tcW w:w="8336" w:type="dxa"/>
            <w:gridSpan w:val="2"/>
            <w:tcBorders>
              <w:top w:val="single" w:sz="4" w:space="0" w:color="auto"/>
              <w:left w:val="nil"/>
              <w:bottom w:val="nil"/>
              <w:right w:val="nil"/>
            </w:tcBorders>
          </w:tcPr>
          <w:p w:rsidR="00D765F3" w:rsidRDefault="00D765F3" w:rsidP="00E87357">
            <w:pPr>
              <w:pStyle w:val="NormalWeb"/>
              <w:spacing w:before="0" w:beforeAutospacing="0" w:after="0" w:afterAutospacing="0"/>
              <w:rPr>
                <w:rFonts w:ascii="Arial" w:hAnsi="Arial" w:cs="Arial"/>
                <w:color w:val="000000" w:themeColor="text1"/>
                <w:sz w:val="22"/>
                <w:szCs w:val="22"/>
              </w:rPr>
            </w:pPr>
          </w:p>
          <w:p w:rsidR="00D765F3" w:rsidRDefault="00D765F3" w:rsidP="00E87357">
            <w:pPr>
              <w:pStyle w:val="NormalWeb"/>
              <w:shd w:val="clear" w:color="auto" w:fill="FFFFFF"/>
              <w:spacing w:before="0" w:beforeAutospacing="0" w:after="0" w:afterAutospacing="0"/>
              <w:ind w:left="-105"/>
              <w:rPr>
                <w:rFonts w:ascii="Arial" w:hAnsi="Arial" w:cs="Arial"/>
                <w:color w:val="000000" w:themeColor="text1"/>
                <w:sz w:val="22"/>
                <w:szCs w:val="22"/>
              </w:rPr>
            </w:pPr>
            <w:r w:rsidRPr="00CC351B">
              <w:rPr>
                <w:rFonts w:ascii="Arial" w:hAnsi="Arial" w:cs="Arial"/>
                <w:color w:val="000000" w:themeColor="text1"/>
                <w:sz w:val="22"/>
                <w:szCs w:val="22"/>
              </w:rPr>
              <w:t>Patients can withdraw consent at any time and</w:t>
            </w:r>
            <w:r>
              <w:rPr>
                <w:rFonts w:ascii="Arial" w:hAnsi="Arial" w:cs="Arial"/>
                <w:color w:val="000000" w:themeColor="text1"/>
                <w:sz w:val="22"/>
                <w:szCs w:val="22"/>
              </w:rPr>
              <w:t>,</w:t>
            </w:r>
            <w:r w:rsidRPr="00CC351B">
              <w:rPr>
                <w:rFonts w:ascii="Arial" w:hAnsi="Arial" w:cs="Arial"/>
                <w:color w:val="000000" w:themeColor="text1"/>
                <w:sz w:val="22"/>
                <w:szCs w:val="22"/>
              </w:rPr>
              <w:t xml:space="preserve"> if this occurs, clinicians must stop the procedure safely, listen to the concerns of the patient and explain the consequences of not finishing the procedure. </w:t>
            </w:r>
          </w:p>
        </w:tc>
      </w:tr>
    </w:tbl>
    <w:p w:rsidR="00CC351B" w:rsidRPr="006C564D" w:rsidRDefault="00E9656A" w:rsidP="006C564D">
      <w:pPr>
        <w:pStyle w:val="Heading2"/>
        <w:rPr>
          <w:rFonts w:ascii="Arial" w:hAnsi="Arial" w:cs="Arial"/>
        </w:rPr>
      </w:pPr>
      <w:bookmarkStart w:id="52" w:name="_Toc145510406"/>
      <w:bookmarkStart w:id="53" w:name="_Toc145510461"/>
      <w:bookmarkStart w:id="54" w:name="_Toc145510881"/>
      <w:bookmarkStart w:id="55" w:name="_Toc145510407"/>
      <w:bookmarkStart w:id="56" w:name="_Toc145510462"/>
      <w:bookmarkStart w:id="57" w:name="_Toc145510882"/>
      <w:bookmarkStart w:id="58" w:name="_Toc145510408"/>
      <w:bookmarkStart w:id="59" w:name="_Toc145510463"/>
      <w:bookmarkStart w:id="60" w:name="_Toc145510883"/>
      <w:bookmarkStart w:id="61" w:name="_Toc145510409"/>
      <w:bookmarkStart w:id="62" w:name="_Toc145510464"/>
      <w:bookmarkStart w:id="63" w:name="_Toc145510884"/>
      <w:bookmarkStart w:id="64" w:name="_Toc145510410"/>
      <w:bookmarkStart w:id="65" w:name="_Toc145510465"/>
      <w:bookmarkStart w:id="66" w:name="_Toc145510885"/>
      <w:bookmarkStart w:id="67" w:name="_Toc18541049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Arial" w:hAnsi="Arial" w:cs="Arial"/>
          <w:smallCaps w:val="0"/>
          <w:sz w:val="24"/>
          <w:szCs w:val="24"/>
          <w:lang w:val="en-GB"/>
        </w:rPr>
        <w:t>Consent forms</w:t>
      </w:r>
      <w:bookmarkEnd w:id="67"/>
    </w:p>
    <w:p w:rsidR="00CC351B" w:rsidRDefault="00CC351B" w:rsidP="00B748E5">
      <w:pPr>
        <w:pStyle w:val="NormalWeb"/>
        <w:shd w:val="clear" w:color="auto" w:fill="FFFFFF"/>
        <w:spacing w:before="0" w:beforeAutospacing="0" w:after="0" w:afterAutospacing="0"/>
        <w:rPr>
          <w:rFonts w:ascii="Arial" w:hAnsi="Arial" w:cs="Arial"/>
          <w:color w:val="2C2C2C"/>
          <w:sz w:val="22"/>
          <w:szCs w:val="22"/>
          <w:shd w:val="clear" w:color="auto" w:fill="FFFFFF"/>
        </w:rPr>
      </w:pPr>
    </w:p>
    <w:p w:rsidR="00E9656A" w:rsidRDefault="000E1994" w:rsidP="00BA5ED1">
      <w:pPr>
        <w:pStyle w:val="NormalWeb"/>
        <w:shd w:val="clear" w:color="auto" w:fill="FFFFFF"/>
        <w:spacing w:before="0" w:beforeAutospacing="0" w:after="0" w:afterAutospacing="0"/>
        <w:rPr>
          <w:rFonts w:ascii="Arial" w:hAnsi="Arial" w:cs="Arial"/>
          <w:sz w:val="22"/>
          <w:szCs w:val="22"/>
        </w:rPr>
      </w:pPr>
      <w:hyperlink r:id="rId15" w:history="1">
        <w:r w:rsidR="00E9656A" w:rsidRPr="00E9656A">
          <w:rPr>
            <w:rStyle w:val="Hyperlink"/>
            <w:rFonts w:ascii="Arial" w:hAnsi="Arial" w:cs="Arial"/>
            <w:sz w:val="22"/>
            <w:szCs w:val="22"/>
            <w:shd w:val="clear" w:color="auto" w:fill="FFFFFF"/>
          </w:rPr>
          <w:t>Medical Protection</w:t>
        </w:r>
      </w:hyperlink>
      <w:r w:rsidR="00E9656A">
        <w:rPr>
          <w:rFonts w:ascii="Arial" w:hAnsi="Arial" w:cs="Arial"/>
          <w:sz w:val="22"/>
          <w:szCs w:val="22"/>
          <w:shd w:val="clear" w:color="auto" w:fill="FFFFFF"/>
        </w:rPr>
        <w:t xml:space="preserve"> explain</w:t>
      </w:r>
      <w:r w:rsidR="00D14C05">
        <w:rPr>
          <w:rFonts w:ascii="Arial" w:hAnsi="Arial" w:cs="Arial"/>
          <w:sz w:val="22"/>
          <w:szCs w:val="22"/>
          <w:shd w:val="clear" w:color="auto" w:fill="FFFFFF"/>
        </w:rPr>
        <w:t>s</w:t>
      </w:r>
      <w:r w:rsidR="00E9656A">
        <w:rPr>
          <w:rFonts w:ascii="Arial" w:hAnsi="Arial" w:cs="Arial"/>
          <w:sz w:val="22"/>
          <w:szCs w:val="22"/>
          <w:shd w:val="clear" w:color="auto" w:fill="FFFFFF"/>
        </w:rPr>
        <w:t xml:space="preserve"> that completed consent forms provide some evidence that consent was obtained but they do not constitute as proof that the consent was valid. </w:t>
      </w:r>
    </w:p>
    <w:p w:rsidR="00E9656A" w:rsidRDefault="00E9656A" w:rsidP="00BA5ED1">
      <w:pPr>
        <w:pStyle w:val="NormalWeb"/>
        <w:shd w:val="clear" w:color="auto" w:fill="FFFFFF"/>
        <w:spacing w:before="0" w:beforeAutospacing="0" w:after="0" w:afterAutospacing="0"/>
        <w:rPr>
          <w:rFonts w:ascii="Arial" w:hAnsi="Arial" w:cs="Arial"/>
          <w:sz w:val="22"/>
          <w:szCs w:val="22"/>
        </w:rPr>
      </w:pPr>
    </w:p>
    <w:p w:rsidR="00E517CA" w:rsidRDefault="00E9656A" w:rsidP="00BA5ED1">
      <w:pPr>
        <w:pStyle w:val="NormalWeb"/>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rPr>
        <w:t xml:space="preserve">A consent form template can be found at </w:t>
      </w:r>
      <w:hyperlink w:anchor="_Annex_A_–" w:history="1">
        <w:r w:rsidR="00A03913" w:rsidRPr="006C564D">
          <w:rPr>
            <w:rStyle w:val="Hyperlink"/>
            <w:rFonts w:ascii="Arial" w:hAnsi="Arial" w:cs="Arial"/>
            <w:sz w:val="22"/>
            <w:szCs w:val="22"/>
          </w:rPr>
          <w:t>Annex A</w:t>
        </w:r>
      </w:hyperlink>
      <w:r w:rsidR="002B66E7">
        <w:rPr>
          <w:rFonts w:ascii="Arial" w:hAnsi="Arial" w:cs="Arial"/>
          <w:color w:val="2C2C2C"/>
          <w:sz w:val="22"/>
          <w:szCs w:val="22"/>
          <w:shd w:val="clear" w:color="auto" w:fill="FFFFFF"/>
        </w:rPr>
        <w:t xml:space="preserve"> or the electronic version of the consent form on the clinical system may be used. </w:t>
      </w:r>
    </w:p>
    <w:p w:rsidR="00696BBD" w:rsidRPr="00A924CF" w:rsidRDefault="00696BBD" w:rsidP="00696BBD">
      <w:pPr>
        <w:pStyle w:val="Heading2"/>
        <w:rPr>
          <w:rFonts w:ascii="Arial" w:hAnsi="Arial" w:cs="Arial"/>
          <w:smallCaps w:val="0"/>
          <w:sz w:val="24"/>
          <w:szCs w:val="24"/>
          <w:lang w:val="en-GB"/>
        </w:rPr>
      </w:pPr>
      <w:bookmarkStart w:id="68" w:name="_Toc185410495"/>
      <w:r>
        <w:rPr>
          <w:rFonts w:ascii="Arial" w:hAnsi="Arial" w:cs="Arial"/>
          <w:smallCaps w:val="0"/>
          <w:sz w:val="24"/>
          <w:szCs w:val="24"/>
          <w:lang w:val="en-GB"/>
        </w:rPr>
        <w:t>Recording consent in a patient’s clinical record</w:t>
      </w:r>
      <w:bookmarkEnd w:id="68"/>
    </w:p>
    <w:p w:rsidR="003E5CA9" w:rsidRDefault="003E5CA9" w:rsidP="00920251">
      <w:pPr>
        <w:pStyle w:val="NormalWeb"/>
        <w:shd w:val="clear" w:color="auto" w:fill="FFFFFF"/>
        <w:spacing w:before="0" w:beforeAutospacing="0" w:after="0" w:afterAutospacing="0"/>
        <w:rPr>
          <w:rFonts w:ascii="Arial" w:hAnsi="Arial" w:cs="Arial"/>
          <w:sz w:val="22"/>
          <w:szCs w:val="22"/>
        </w:rPr>
      </w:pPr>
    </w:p>
    <w:p w:rsidR="00D37EAF" w:rsidRDefault="00E9656A" w:rsidP="006C564D">
      <w:pPr>
        <w:rPr>
          <w:rFonts w:ascii="Arial" w:hAnsi="Arial" w:cs="Arial"/>
          <w:sz w:val="22"/>
          <w:szCs w:val="22"/>
        </w:rPr>
      </w:pPr>
      <w:r>
        <w:rPr>
          <w:rFonts w:ascii="Arial" w:hAnsi="Arial" w:cs="Arial"/>
          <w:sz w:val="22"/>
          <w:szCs w:val="22"/>
        </w:rPr>
        <w:t>When recording consent in the patient’s clinical record (and not using the form at Annex A), the following information is to be recorded:</w:t>
      </w:r>
    </w:p>
    <w:p w:rsidR="00547EA4" w:rsidRDefault="00547EA4" w:rsidP="006C564D">
      <w:pPr>
        <w:rPr>
          <w:rFonts w:ascii="Arial" w:hAnsi="Arial" w:cs="Arial"/>
          <w:sz w:val="22"/>
          <w:szCs w:val="22"/>
        </w:rPr>
      </w:pPr>
    </w:p>
    <w:p w:rsidR="00E9656A" w:rsidRDefault="00E9656A" w:rsidP="00E9656A">
      <w:pPr>
        <w:pStyle w:val="ListParagraph"/>
        <w:numPr>
          <w:ilvl w:val="0"/>
          <w:numId w:val="42"/>
        </w:numPr>
        <w:rPr>
          <w:rFonts w:ascii="Arial" w:hAnsi="Arial" w:cs="Arial"/>
          <w:sz w:val="22"/>
          <w:szCs w:val="22"/>
        </w:rPr>
      </w:pPr>
      <w:r>
        <w:rPr>
          <w:rFonts w:ascii="Arial" w:hAnsi="Arial" w:cs="Arial"/>
          <w:sz w:val="22"/>
          <w:szCs w:val="22"/>
        </w:rPr>
        <w:t>What was discussed with the patient about the proposed procedure</w:t>
      </w:r>
    </w:p>
    <w:p w:rsidR="00E9656A" w:rsidRDefault="00E9656A" w:rsidP="00E9656A">
      <w:pPr>
        <w:pStyle w:val="ListParagraph"/>
        <w:numPr>
          <w:ilvl w:val="0"/>
          <w:numId w:val="42"/>
        </w:numPr>
        <w:rPr>
          <w:rFonts w:ascii="Arial" w:hAnsi="Arial" w:cs="Arial"/>
          <w:sz w:val="22"/>
          <w:szCs w:val="22"/>
        </w:rPr>
      </w:pPr>
      <w:r>
        <w:rPr>
          <w:rFonts w:ascii="Arial" w:hAnsi="Arial" w:cs="Arial"/>
          <w:sz w:val="22"/>
          <w:szCs w:val="22"/>
        </w:rPr>
        <w:t>Any alternative treatment plans</w:t>
      </w:r>
    </w:p>
    <w:p w:rsidR="00E9656A" w:rsidRDefault="00E9656A" w:rsidP="00E9656A">
      <w:pPr>
        <w:pStyle w:val="ListParagraph"/>
        <w:numPr>
          <w:ilvl w:val="0"/>
          <w:numId w:val="42"/>
        </w:numPr>
        <w:rPr>
          <w:rFonts w:ascii="Arial" w:hAnsi="Arial" w:cs="Arial"/>
          <w:sz w:val="22"/>
          <w:szCs w:val="22"/>
        </w:rPr>
      </w:pPr>
      <w:r>
        <w:rPr>
          <w:rFonts w:ascii="Arial" w:hAnsi="Arial" w:cs="Arial"/>
          <w:sz w:val="22"/>
          <w:szCs w:val="22"/>
        </w:rPr>
        <w:t>Likely benefits and risks</w:t>
      </w:r>
    </w:p>
    <w:p w:rsidR="00E9656A" w:rsidRPr="00E9656A" w:rsidRDefault="00E9656A" w:rsidP="00E9656A">
      <w:pPr>
        <w:pStyle w:val="ListParagraph"/>
        <w:numPr>
          <w:ilvl w:val="0"/>
          <w:numId w:val="42"/>
        </w:numPr>
        <w:rPr>
          <w:rFonts w:ascii="Arial" w:hAnsi="Arial" w:cs="Arial"/>
          <w:sz w:val="22"/>
          <w:szCs w:val="22"/>
        </w:rPr>
      </w:pPr>
      <w:r>
        <w:rPr>
          <w:rFonts w:ascii="Arial" w:hAnsi="Arial" w:cs="Arial"/>
          <w:sz w:val="22"/>
          <w:szCs w:val="22"/>
        </w:rPr>
        <w:t>An indication the patient has given consent</w:t>
      </w:r>
    </w:p>
    <w:p w:rsidR="006670D3" w:rsidRPr="006C564D" w:rsidRDefault="006670D3" w:rsidP="006670D3">
      <w:pPr>
        <w:pStyle w:val="ListParagraph"/>
        <w:rPr>
          <w:rFonts w:ascii="Arial" w:hAnsi="Arial" w:cs="Arial"/>
          <w:sz w:val="22"/>
          <w:szCs w:val="22"/>
        </w:rPr>
      </w:pPr>
    </w:p>
    <w:p w:rsidR="00CC351B" w:rsidRPr="006C564D" w:rsidRDefault="00CC351B" w:rsidP="00CC351B">
      <w:pPr>
        <w:pStyle w:val="Heading2"/>
        <w:rPr>
          <w:rFonts w:ascii="Arial" w:hAnsi="Arial" w:cs="Arial"/>
          <w:smallCaps w:val="0"/>
          <w:sz w:val="24"/>
          <w:szCs w:val="24"/>
          <w:lang w:val="en-GB"/>
        </w:rPr>
      </w:pPr>
      <w:bookmarkStart w:id="69" w:name="_Toc90996075"/>
      <w:bookmarkStart w:id="70" w:name="_Toc90996110"/>
      <w:bookmarkStart w:id="71" w:name="_Toc90996146"/>
      <w:bookmarkStart w:id="72" w:name="_Toc90996467"/>
      <w:bookmarkStart w:id="73" w:name="_Toc90996650"/>
      <w:bookmarkStart w:id="74" w:name="_Toc90996685"/>
      <w:bookmarkStart w:id="75" w:name="_Toc90996721"/>
      <w:bookmarkStart w:id="76" w:name="_Toc90996756"/>
      <w:bookmarkStart w:id="77" w:name="_Toc90996935"/>
      <w:bookmarkStart w:id="78" w:name="_Toc90996969"/>
      <w:bookmarkStart w:id="79" w:name="_Toc90997003"/>
      <w:bookmarkStart w:id="80" w:name="_Toc91750084"/>
      <w:bookmarkStart w:id="81" w:name="_Toc91750123"/>
      <w:bookmarkStart w:id="82" w:name="_Toc91750350"/>
      <w:bookmarkStart w:id="83" w:name="_Toc90996076"/>
      <w:bookmarkStart w:id="84" w:name="_Toc90996111"/>
      <w:bookmarkStart w:id="85" w:name="_Toc90996147"/>
      <w:bookmarkStart w:id="86" w:name="_Toc90996468"/>
      <w:bookmarkStart w:id="87" w:name="_Toc90996651"/>
      <w:bookmarkStart w:id="88" w:name="_Toc90996686"/>
      <w:bookmarkStart w:id="89" w:name="_Toc90996722"/>
      <w:bookmarkStart w:id="90" w:name="_Toc90996757"/>
      <w:bookmarkStart w:id="91" w:name="_Toc90996936"/>
      <w:bookmarkStart w:id="92" w:name="_Toc90996970"/>
      <w:bookmarkStart w:id="93" w:name="_Toc90997004"/>
      <w:bookmarkStart w:id="94" w:name="_Toc91750085"/>
      <w:bookmarkStart w:id="95" w:name="_Toc91750124"/>
      <w:bookmarkStart w:id="96" w:name="_Toc91750351"/>
      <w:bookmarkStart w:id="97" w:name="_Toc18541049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C564D">
        <w:rPr>
          <w:rFonts w:ascii="Arial" w:hAnsi="Arial" w:cs="Arial"/>
          <w:smallCaps w:val="0"/>
          <w:sz w:val="24"/>
          <w:szCs w:val="24"/>
          <w:lang w:val="en-GB"/>
        </w:rPr>
        <w:t>When consent is not needed</w:t>
      </w:r>
      <w:bookmarkEnd w:id="97"/>
    </w:p>
    <w:p w:rsidR="00CC351B" w:rsidRPr="00CC351B" w:rsidRDefault="00CC351B" w:rsidP="00CC351B">
      <w:pPr>
        <w:rPr>
          <w:rFonts w:ascii="Arial" w:hAnsi="Arial" w:cs="Arial"/>
          <w:sz w:val="22"/>
          <w:szCs w:val="22"/>
        </w:rPr>
      </w:pPr>
    </w:p>
    <w:p w:rsidR="006C24FA" w:rsidRDefault="000E1994" w:rsidP="00CC351B">
      <w:pPr>
        <w:rPr>
          <w:rFonts w:ascii="Arial" w:hAnsi="Arial" w:cs="Arial"/>
          <w:sz w:val="22"/>
          <w:szCs w:val="22"/>
        </w:rPr>
      </w:pPr>
      <w:hyperlink r:id="rId16" w:history="1">
        <w:r w:rsidR="00E9656A" w:rsidRPr="006C24FA">
          <w:rPr>
            <w:rStyle w:val="Hyperlink"/>
            <w:rFonts w:ascii="Arial" w:hAnsi="Arial" w:cs="Arial"/>
            <w:sz w:val="22"/>
            <w:szCs w:val="22"/>
          </w:rPr>
          <w:t>NHS England Consent to Treatment</w:t>
        </w:r>
      </w:hyperlink>
      <w:r w:rsidR="00E9656A">
        <w:rPr>
          <w:rFonts w:ascii="Arial" w:hAnsi="Arial" w:cs="Arial"/>
          <w:sz w:val="22"/>
          <w:szCs w:val="22"/>
        </w:rPr>
        <w:t xml:space="preserve"> details the</w:t>
      </w:r>
      <w:r w:rsidR="00CC351B" w:rsidRPr="00CC351B">
        <w:rPr>
          <w:rFonts w:ascii="Arial" w:hAnsi="Arial" w:cs="Arial"/>
          <w:sz w:val="22"/>
          <w:szCs w:val="22"/>
        </w:rPr>
        <w:t xml:space="preserve"> exceptions when treatment may be able to </w:t>
      </w:r>
      <w:r w:rsidR="00EB5049">
        <w:rPr>
          <w:rFonts w:ascii="Arial" w:hAnsi="Arial" w:cs="Arial"/>
          <w:sz w:val="22"/>
          <w:szCs w:val="22"/>
        </w:rPr>
        <w:t>proceed</w:t>
      </w:r>
      <w:r w:rsidR="00CC351B" w:rsidRPr="00CC351B">
        <w:rPr>
          <w:rFonts w:ascii="Arial" w:hAnsi="Arial" w:cs="Arial"/>
          <w:sz w:val="22"/>
          <w:szCs w:val="22"/>
        </w:rPr>
        <w:t xml:space="preserve"> without the person's consent, even if they</w:t>
      </w:r>
      <w:r w:rsidR="00EB5049">
        <w:rPr>
          <w:rFonts w:ascii="Arial" w:hAnsi="Arial" w:cs="Arial"/>
          <w:sz w:val="22"/>
          <w:szCs w:val="22"/>
        </w:rPr>
        <w:t xml:space="preserve"> a</w:t>
      </w:r>
      <w:r w:rsidR="00CC351B" w:rsidRPr="00CC351B">
        <w:rPr>
          <w:rFonts w:ascii="Arial" w:hAnsi="Arial" w:cs="Arial"/>
          <w:sz w:val="22"/>
          <w:szCs w:val="22"/>
        </w:rPr>
        <w:t>re capable of giving their permission.</w:t>
      </w:r>
      <w:r w:rsidR="00CC351B">
        <w:rPr>
          <w:rFonts w:ascii="Arial" w:hAnsi="Arial" w:cs="Arial"/>
          <w:sz w:val="22"/>
          <w:szCs w:val="22"/>
        </w:rPr>
        <w:t xml:space="preserve"> </w:t>
      </w:r>
    </w:p>
    <w:p w:rsidR="003F5566" w:rsidRPr="00110320" w:rsidRDefault="008C11B9" w:rsidP="003F5566">
      <w:pPr>
        <w:pStyle w:val="Heading2"/>
        <w:rPr>
          <w:rFonts w:ascii="Arial" w:hAnsi="Arial" w:cs="Arial"/>
          <w:smallCaps w:val="0"/>
          <w:sz w:val="24"/>
          <w:szCs w:val="24"/>
          <w:lang w:val="en-GB"/>
        </w:rPr>
      </w:pPr>
      <w:bookmarkStart w:id="98" w:name="_Toc145510414"/>
      <w:bookmarkStart w:id="99" w:name="_Toc145510469"/>
      <w:bookmarkStart w:id="100" w:name="_Toc145510889"/>
      <w:bookmarkStart w:id="101" w:name="_Toc145510415"/>
      <w:bookmarkStart w:id="102" w:name="_Toc145510470"/>
      <w:bookmarkStart w:id="103" w:name="_Toc145510890"/>
      <w:bookmarkStart w:id="104" w:name="_Toc145510416"/>
      <w:bookmarkStart w:id="105" w:name="_Toc145510471"/>
      <w:bookmarkStart w:id="106" w:name="_Toc145510891"/>
      <w:bookmarkStart w:id="107" w:name="_Toc145510417"/>
      <w:bookmarkStart w:id="108" w:name="_Toc145510472"/>
      <w:bookmarkStart w:id="109" w:name="_Toc145510892"/>
      <w:bookmarkStart w:id="110" w:name="_Toc145510418"/>
      <w:bookmarkStart w:id="111" w:name="_Toc145510473"/>
      <w:bookmarkStart w:id="112" w:name="_Toc145510893"/>
      <w:bookmarkStart w:id="113" w:name="_Toc145510419"/>
      <w:bookmarkStart w:id="114" w:name="_Toc145510474"/>
      <w:bookmarkStart w:id="115" w:name="_Toc145510894"/>
      <w:bookmarkStart w:id="116" w:name="_Toc145510420"/>
      <w:bookmarkStart w:id="117" w:name="_Toc145510475"/>
      <w:bookmarkStart w:id="118" w:name="_Toc145510895"/>
      <w:bookmarkStart w:id="119" w:name="_Toc145510421"/>
      <w:bookmarkStart w:id="120" w:name="_Toc145510476"/>
      <w:bookmarkStart w:id="121" w:name="_Toc145510896"/>
      <w:bookmarkStart w:id="122" w:name="_Toc145510422"/>
      <w:bookmarkStart w:id="123" w:name="_Toc145510477"/>
      <w:bookmarkStart w:id="124" w:name="_Toc145510897"/>
      <w:bookmarkStart w:id="125" w:name="_Toc145510423"/>
      <w:bookmarkStart w:id="126" w:name="_Toc145510478"/>
      <w:bookmarkStart w:id="127" w:name="_Toc145510898"/>
      <w:bookmarkStart w:id="128" w:name="_Toc145510424"/>
      <w:bookmarkStart w:id="129" w:name="_Toc145510479"/>
      <w:bookmarkStart w:id="130" w:name="_Toc145510899"/>
      <w:bookmarkStart w:id="131" w:name="_Toc145510425"/>
      <w:bookmarkStart w:id="132" w:name="_Toc145510480"/>
      <w:bookmarkStart w:id="133" w:name="_Toc145510900"/>
      <w:bookmarkStart w:id="134" w:name="_Toc145510426"/>
      <w:bookmarkStart w:id="135" w:name="_Toc145510481"/>
      <w:bookmarkStart w:id="136" w:name="_Toc145510901"/>
      <w:bookmarkStart w:id="137" w:name="_Toc145510427"/>
      <w:bookmarkStart w:id="138" w:name="_Toc145510482"/>
      <w:bookmarkStart w:id="139" w:name="_Toc145510902"/>
      <w:bookmarkStart w:id="140" w:name="_Toc1854104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110320">
        <w:rPr>
          <w:rFonts w:ascii="Arial" w:hAnsi="Arial" w:cs="Arial"/>
          <w:smallCaps w:val="0"/>
          <w:sz w:val="24"/>
          <w:szCs w:val="24"/>
          <w:lang w:val="en-GB"/>
        </w:rPr>
        <w:t>Obtaining c</w:t>
      </w:r>
      <w:r w:rsidR="003F5566" w:rsidRPr="00110320">
        <w:rPr>
          <w:rFonts w:ascii="Arial" w:hAnsi="Arial" w:cs="Arial"/>
          <w:smallCaps w:val="0"/>
          <w:sz w:val="24"/>
          <w:szCs w:val="24"/>
          <w:lang w:val="en-GB"/>
        </w:rPr>
        <w:t>onsent</w:t>
      </w:r>
      <w:bookmarkEnd w:id="140"/>
    </w:p>
    <w:p w:rsidR="008C11B9" w:rsidRPr="00E87357" w:rsidRDefault="008C11B9" w:rsidP="00E87357">
      <w:pPr>
        <w:pStyle w:val="NormalWeb"/>
        <w:shd w:val="clear" w:color="auto" w:fill="FFFFFF"/>
        <w:spacing w:before="0" w:beforeAutospacing="0" w:after="0" w:afterAutospacing="0"/>
        <w:rPr>
          <w:rFonts w:ascii="Arial" w:hAnsi="Arial" w:cs="Arial"/>
          <w:color w:val="000000" w:themeColor="text1"/>
          <w:sz w:val="22"/>
          <w:szCs w:val="22"/>
        </w:rPr>
      </w:pPr>
    </w:p>
    <w:p w:rsidR="009A0063" w:rsidRPr="0091114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r w:rsidRPr="00FE0A3F">
        <w:rPr>
          <w:rFonts w:ascii="Arial" w:hAnsi="Arial" w:cs="Arial"/>
          <w:color w:val="000000" w:themeColor="text1"/>
          <w:sz w:val="22"/>
          <w:szCs w:val="22"/>
        </w:rPr>
        <w:t xml:space="preserve">It is the responsibility of the clinician carrying out the procedure or examination to obtain consent from the patient. The amount of information the clinician needs to provide varies on a case-by-case </w:t>
      </w:r>
      <w:r w:rsidR="00D765F3" w:rsidRPr="00FE0A3F">
        <w:rPr>
          <w:rFonts w:ascii="Arial" w:hAnsi="Arial" w:cs="Arial"/>
          <w:color w:val="000000" w:themeColor="text1"/>
          <w:sz w:val="22"/>
          <w:szCs w:val="22"/>
        </w:rPr>
        <w:t>basis,</w:t>
      </w:r>
      <w:r w:rsidRPr="00FE0A3F">
        <w:rPr>
          <w:rFonts w:ascii="Arial" w:hAnsi="Arial" w:cs="Arial"/>
          <w:color w:val="000000" w:themeColor="text1"/>
          <w:sz w:val="22"/>
          <w:szCs w:val="22"/>
        </w:rPr>
        <w:t xml:space="preserve"> but the clinician will in all scenarios:</w:t>
      </w:r>
    </w:p>
    <w:p w:rsidR="009A0063" w:rsidRPr="00911143"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Try to ascertain the patient’s individual needs and wishes</w:t>
      </w:r>
    </w:p>
    <w:p w:rsidR="00333ADB" w:rsidRPr="00CC351B" w:rsidRDefault="00333ADB"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Ensure the patient has the capacity to consent</w:t>
      </w:r>
    </w:p>
    <w:p w:rsidR="00333ADB" w:rsidRPr="00CC351B"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CC351B">
        <w:rPr>
          <w:rFonts w:ascii="Arial" w:hAnsi="Arial" w:cs="Arial"/>
          <w:color w:val="000000" w:themeColor="text1"/>
          <w:sz w:val="22"/>
          <w:szCs w:val="22"/>
        </w:rPr>
        <w:t>Explain the requirement for and purpose of the pr</w:t>
      </w:r>
      <w:r w:rsidRPr="00755CA3">
        <w:rPr>
          <w:rFonts w:ascii="Arial" w:hAnsi="Arial" w:cs="Arial"/>
          <w:color w:val="000000" w:themeColor="text1"/>
          <w:sz w:val="22"/>
          <w:szCs w:val="22"/>
        </w:rPr>
        <w:t>ocedure, examination or treatment</w:t>
      </w:r>
    </w:p>
    <w:p w:rsidR="00333ADB" w:rsidRPr="00755CA3"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32774E">
        <w:rPr>
          <w:rFonts w:ascii="Arial" w:hAnsi="Arial" w:cs="Arial"/>
          <w:color w:val="000000" w:themeColor="text1"/>
          <w:sz w:val="22"/>
          <w:szCs w:val="22"/>
        </w:rPr>
        <w:t>Discuss the options available to the patient including the option not to proceed</w:t>
      </w:r>
    </w:p>
    <w:p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333ADB" w:rsidRDefault="009A0063" w:rsidP="00E87357">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32774E">
        <w:rPr>
          <w:rFonts w:ascii="Arial" w:hAnsi="Arial" w:cs="Arial"/>
          <w:color w:val="000000" w:themeColor="text1"/>
          <w:sz w:val="22"/>
          <w:szCs w:val="22"/>
        </w:rPr>
        <w:t>Give an explanation of the benefits and associated risks or side effects</w:t>
      </w:r>
    </w:p>
    <w:p w:rsidR="00E87357" w:rsidRDefault="00E87357" w:rsidP="00E87357">
      <w:pPr>
        <w:pStyle w:val="ListParagraph"/>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 xml:space="preserve">Discuss the possibility of any issues </w:t>
      </w:r>
      <w:r w:rsidR="00D14C05">
        <w:rPr>
          <w:rFonts w:ascii="Arial" w:hAnsi="Arial" w:cs="Arial"/>
          <w:color w:val="000000" w:themeColor="text1"/>
          <w:sz w:val="22"/>
          <w:szCs w:val="22"/>
        </w:rPr>
        <w:t>that</w:t>
      </w:r>
      <w:r w:rsidRPr="00E86A81">
        <w:rPr>
          <w:rFonts w:ascii="Arial" w:hAnsi="Arial" w:cs="Arial"/>
          <w:color w:val="000000" w:themeColor="text1"/>
          <w:sz w:val="22"/>
          <w:szCs w:val="22"/>
        </w:rPr>
        <w:t xml:space="preserve"> may arise during the process</w:t>
      </w:r>
    </w:p>
    <w:p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Answer any questions the patient may ask prior to consenting</w:t>
      </w:r>
    </w:p>
    <w:p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Explain that the clinician conducting the examination, procedure or treatment will ob</w:t>
      </w:r>
      <w:r w:rsidRPr="00E31DC0">
        <w:rPr>
          <w:rFonts w:ascii="Arial" w:hAnsi="Arial" w:cs="Arial"/>
          <w:color w:val="000000" w:themeColor="text1"/>
          <w:sz w:val="22"/>
          <w:szCs w:val="22"/>
        </w:rPr>
        <w:t>tain the patient’s consent</w:t>
      </w:r>
    </w:p>
    <w:p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C34967"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Remind the patient that they can withdraw consent at any time</w:t>
      </w:r>
    </w:p>
    <w:p w:rsidR="00333ADB" w:rsidRPr="00C34967" w:rsidRDefault="00333ADB" w:rsidP="00E87357">
      <w:pPr>
        <w:pStyle w:val="NormalWeb"/>
        <w:shd w:val="clear" w:color="auto" w:fill="FFFFFF"/>
        <w:spacing w:before="0" w:beforeAutospacing="0" w:after="0" w:afterAutospacing="0"/>
        <w:ind w:left="720"/>
        <w:rPr>
          <w:rFonts w:ascii="Arial" w:hAnsi="Arial" w:cs="Arial"/>
          <w:color w:val="000000" w:themeColor="text1"/>
          <w:sz w:val="22"/>
          <w:szCs w:val="22"/>
        </w:rPr>
      </w:pPr>
    </w:p>
    <w:p w:rsidR="009A0063"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 xml:space="preserve">Reassure the patient that the examination, treatment or procedure is for their benefit but </w:t>
      </w:r>
      <w:r w:rsidR="006F2BE9">
        <w:rPr>
          <w:rFonts w:ascii="Arial" w:hAnsi="Arial" w:cs="Arial"/>
          <w:color w:val="000000" w:themeColor="text1"/>
          <w:sz w:val="22"/>
          <w:szCs w:val="22"/>
        </w:rPr>
        <w:t xml:space="preserve">that </w:t>
      </w:r>
      <w:r w:rsidRPr="00E86A81">
        <w:rPr>
          <w:rFonts w:ascii="Arial" w:hAnsi="Arial" w:cs="Arial"/>
          <w:color w:val="000000" w:themeColor="text1"/>
          <w:sz w:val="22"/>
          <w:szCs w:val="22"/>
        </w:rPr>
        <w:t xml:space="preserve">the overall choice to proceed rests with them </w:t>
      </w:r>
    </w:p>
    <w:p w:rsidR="00333ADB" w:rsidRPr="0032774E" w:rsidRDefault="00333ADB" w:rsidP="00110320">
      <w:pPr>
        <w:pStyle w:val="NormalWeb"/>
        <w:shd w:val="clear" w:color="auto" w:fill="FFFFFF"/>
        <w:spacing w:before="0" w:beforeAutospacing="0" w:after="0" w:afterAutospacing="0"/>
        <w:rPr>
          <w:rFonts w:ascii="Arial" w:hAnsi="Arial" w:cs="Arial"/>
          <w:color w:val="000000" w:themeColor="text1"/>
          <w:sz w:val="22"/>
          <w:szCs w:val="22"/>
        </w:rPr>
      </w:pPr>
    </w:p>
    <w:p w:rsidR="00333ADB" w:rsidRDefault="00262DED" w:rsidP="00A924CF">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32774E">
        <w:rPr>
          <w:rFonts w:ascii="Arial" w:hAnsi="Arial" w:cs="Arial"/>
          <w:color w:val="000000" w:themeColor="text1"/>
          <w:sz w:val="22"/>
          <w:szCs w:val="22"/>
        </w:rPr>
        <w:t xml:space="preserve">Offer the patient the option of a second opinion </w:t>
      </w:r>
    </w:p>
    <w:p w:rsidR="00D765F3" w:rsidRPr="006E1D9A" w:rsidRDefault="00D765F3" w:rsidP="00E87357">
      <w:pPr>
        <w:pStyle w:val="NormalWeb"/>
        <w:shd w:val="clear" w:color="auto" w:fill="FFFFFF"/>
        <w:spacing w:before="0" w:beforeAutospacing="0" w:after="0" w:afterAutospacing="0"/>
        <w:rPr>
          <w:rFonts w:ascii="Arial" w:hAnsi="Arial" w:cs="Arial"/>
          <w:color w:val="000000" w:themeColor="text1"/>
          <w:sz w:val="22"/>
          <w:szCs w:val="22"/>
        </w:rPr>
      </w:pPr>
    </w:p>
    <w:p w:rsidR="00333ADB" w:rsidRPr="0032774E" w:rsidRDefault="00262DED" w:rsidP="00110320">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86A81">
        <w:rPr>
          <w:rFonts w:ascii="Arial" w:hAnsi="Arial" w:cs="Arial"/>
          <w:color w:val="000000" w:themeColor="text1"/>
          <w:sz w:val="22"/>
          <w:szCs w:val="22"/>
        </w:rPr>
        <w:t>Provide advice regarding the post-examination, treatment or procedure recovery proce</w:t>
      </w:r>
      <w:r w:rsidRPr="00E31DC0">
        <w:rPr>
          <w:rFonts w:ascii="Arial" w:hAnsi="Arial" w:cs="Arial"/>
          <w:color w:val="000000" w:themeColor="text1"/>
          <w:sz w:val="22"/>
          <w:szCs w:val="22"/>
        </w:rPr>
        <w:t>ss</w:t>
      </w:r>
    </w:p>
    <w:p w:rsidR="0032774E" w:rsidRDefault="009A0063" w:rsidP="008C11B9">
      <w:pPr>
        <w:pStyle w:val="NormalWeb"/>
        <w:numPr>
          <w:ilvl w:val="0"/>
          <w:numId w:val="14"/>
        </w:numPr>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Whe</w:t>
      </w:r>
      <w:r w:rsidR="00E87357">
        <w:rPr>
          <w:rFonts w:ascii="Arial" w:hAnsi="Arial" w:cs="Arial"/>
          <w:color w:val="000000" w:themeColor="text1"/>
          <w:sz w:val="22"/>
          <w:szCs w:val="22"/>
        </w:rPr>
        <w:t>n</w:t>
      </w:r>
      <w:r w:rsidRPr="00E31DC0">
        <w:rPr>
          <w:rFonts w:ascii="Arial" w:hAnsi="Arial" w:cs="Arial"/>
          <w:color w:val="000000" w:themeColor="text1"/>
          <w:sz w:val="22"/>
          <w:szCs w:val="22"/>
        </w:rPr>
        <w:t xml:space="preserve"> applicable, a consent form will be completed and signed by the patient</w:t>
      </w:r>
    </w:p>
    <w:p w:rsidR="0032774E" w:rsidRDefault="0032774E"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rsidR="00262DED" w:rsidRPr="00D765F3" w:rsidRDefault="00262DED" w:rsidP="00262DED">
      <w:pPr>
        <w:pStyle w:val="NormalWeb"/>
        <w:shd w:val="clear" w:color="auto" w:fill="FFFFFF"/>
        <w:spacing w:before="0" w:beforeAutospacing="0" w:after="0" w:afterAutospacing="0"/>
        <w:rPr>
          <w:rFonts w:ascii="Arial" w:hAnsi="Arial" w:cs="Arial"/>
          <w:color w:val="000000" w:themeColor="text1"/>
          <w:sz w:val="22"/>
          <w:szCs w:val="22"/>
        </w:rPr>
      </w:pPr>
      <w:r w:rsidRPr="00D765F3">
        <w:rPr>
          <w:rFonts w:ascii="Arial" w:hAnsi="Arial" w:cs="Arial"/>
          <w:color w:val="000000" w:themeColor="text1"/>
          <w:sz w:val="22"/>
          <w:szCs w:val="22"/>
        </w:rPr>
        <w:t xml:space="preserve">The form at </w:t>
      </w:r>
      <w:hyperlink w:anchor="_Annex_A_–" w:history="1">
        <w:r w:rsidRPr="00D765F3">
          <w:rPr>
            <w:rStyle w:val="Hyperlink"/>
            <w:rFonts w:ascii="Arial" w:hAnsi="Arial" w:cs="Arial"/>
            <w:sz w:val="22"/>
            <w:szCs w:val="22"/>
          </w:rPr>
          <w:t>Annex A</w:t>
        </w:r>
      </w:hyperlink>
      <w:r w:rsidRPr="00D765F3">
        <w:rPr>
          <w:rFonts w:ascii="Arial" w:hAnsi="Arial" w:cs="Arial"/>
          <w:color w:val="000000" w:themeColor="text1"/>
          <w:sz w:val="22"/>
          <w:szCs w:val="22"/>
        </w:rPr>
        <w:t xml:space="preserve"> should be amended in accordance with UK Government </w:t>
      </w:r>
      <w:hyperlink r:id="rId17" w:history="1">
        <w:r w:rsidRPr="00D765F3">
          <w:rPr>
            <w:rStyle w:val="Hyperlink"/>
            <w:rFonts w:ascii="Arial" w:hAnsi="Arial" w:cs="Arial"/>
            <w:sz w:val="22"/>
            <w:szCs w:val="22"/>
          </w:rPr>
          <w:t>guidance</w:t>
        </w:r>
      </w:hyperlink>
      <w:r w:rsidRPr="00D765F3">
        <w:rPr>
          <w:rFonts w:ascii="Arial" w:hAnsi="Arial" w:cs="Arial"/>
          <w:color w:val="000000" w:themeColor="text1"/>
          <w:sz w:val="22"/>
          <w:szCs w:val="22"/>
        </w:rPr>
        <w:t xml:space="preserve"> as appropriate to accommodate:</w:t>
      </w:r>
    </w:p>
    <w:p w:rsidR="0032774E" w:rsidRPr="00FE0A3F" w:rsidRDefault="0032774E" w:rsidP="00262DED">
      <w:pPr>
        <w:pStyle w:val="NormalWeb"/>
        <w:shd w:val="clear" w:color="auto" w:fill="FFFFFF"/>
        <w:spacing w:before="0" w:beforeAutospacing="0" w:after="0" w:afterAutospacing="0"/>
        <w:rPr>
          <w:rFonts w:ascii="Arial" w:hAnsi="Arial" w:cs="Arial"/>
          <w:color w:val="000000" w:themeColor="text1"/>
          <w:sz w:val="22"/>
          <w:szCs w:val="22"/>
        </w:rPr>
      </w:pPr>
    </w:p>
    <w:p w:rsidR="0032774E" w:rsidRPr="003E5CA9" w:rsidRDefault="00262DED" w:rsidP="00A924CF">
      <w:pPr>
        <w:pStyle w:val="NormalWeb"/>
        <w:numPr>
          <w:ilvl w:val="0"/>
          <w:numId w:val="23"/>
        </w:numPr>
        <w:shd w:val="clear" w:color="auto" w:fill="FFFFFF"/>
        <w:spacing w:before="0" w:beforeAutospacing="0" w:after="0" w:afterAutospacing="0"/>
        <w:rPr>
          <w:rFonts w:ascii="Arial" w:hAnsi="Arial" w:cs="Arial"/>
          <w:sz w:val="22"/>
          <w:szCs w:val="22"/>
        </w:rPr>
      </w:pPr>
      <w:r w:rsidRPr="006F2BE9">
        <w:rPr>
          <w:rFonts w:ascii="Arial" w:hAnsi="Arial" w:cs="Arial"/>
          <w:sz w:val="22"/>
          <w:szCs w:val="22"/>
        </w:rPr>
        <w:t xml:space="preserve">Parental agreement to </w:t>
      </w:r>
      <w:r w:rsidR="00AA27A1">
        <w:rPr>
          <w:rFonts w:ascii="Arial" w:hAnsi="Arial" w:cs="Arial"/>
          <w:sz w:val="22"/>
          <w:szCs w:val="22"/>
        </w:rPr>
        <w:t xml:space="preserve">the </w:t>
      </w:r>
      <w:r w:rsidRPr="006F2BE9">
        <w:rPr>
          <w:rFonts w:ascii="Arial" w:hAnsi="Arial" w:cs="Arial"/>
          <w:sz w:val="22"/>
          <w:szCs w:val="22"/>
        </w:rPr>
        <w:t>investigation</w:t>
      </w:r>
      <w:r w:rsidR="006F2BE9" w:rsidRPr="006F2BE9">
        <w:rPr>
          <w:rFonts w:ascii="Arial" w:hAnsi="Arial" w:cs="Arial"/>
          <w:sz w:val="22"/>
          <w:szCs w:val="22"/>
        </w:rPr>
        <w:t xml:space="preserve"> of </w:t>
      </w:r>
      <w:r w:rsidRPr="006F2BE9">
        <w:rPr>
          <w:rFonts w:ascii="Arial" w:hAnsi="Arial" w:cs="Arial"/>
          <w:sz w:val="22"/>
          <w:szCs w:val="22"/>
        </w:rPr>
        <w:t>or treatment for a child</w:t>
      </w:r>
    </w:p>
    <w:p w:rsidR="0032774E" w:rsidRPr="003E5CA9" w:rsidRDefault="00262DED" w:rsidP="00A924CF">
      <w:pPr>
        <w:pStyle w:val="NormalWeb"/>
        <w:numPr>
          <w:ilvl w:val="0"/>
          <w:numId w:val="23"/>
        </w:numPr>
        <w:shd w:val="clear" w:color="auto" w:fill="FFFFFF"/>
        <w:spacing w:before="0" w:beforeAutospacing="0" w:after="0" w:afterAutospacing="0"/>
        <w:rPr>
          <w:rFonts w:ascii="Arial" w:hAnsi="Arial" w:cs="Arial"/>
          <w:sz w:val="22"/>
          <w:szCs w:val="22"/>
        </w:rPr>
      </w:pPr>
      <w:r w:rsidRPr="006F2BE9">
        <w:rPr>
          <w:rFonts w:ascii="Arial" w:hAnsi="Arial" w:cs="Arial"/>
          <w:sz w:val="22"/>
          <w:szCs w:val="22"/>
        </w:rPr>
        <w:t xml:space="preserve">Combined </w:t>
      </w:r>
      <w:r w:rsidR="00110320" w:rsidRPr="006F2BE9">
        <w:rPr>
          <w:rFonts w:ascii="Arial" w:hAnsi="Arial" w:cs="Arial"/>
          <w:sz w:val="22"/>
          <w:szCs w:val="22"/>
        </w:rPr>
        <w:t>p</w:t>
      </w:r>
      <w:r w:rsidRPr="006F2BE9">
        <w:rPr>
          <w:rFonts w:ascii="Arial" w:hAnsi="Arial" w:cs="Arial"/>
          <w:sz w:val="22"/>
          <w:szCs w:val="22"/>
        </w:rPr>
        <w:t>atient/parental agreement to investigation or treatment</w:t>
      </w:r>
    </w:p>
    <w:p w:rsidR="00262DED" w:rsidRPr="006F2BE9" w:rsidRDefault="00262DED" w:rsidP="00110320">
      <w:pPr>
        <w:pStyle w:val="NormalWeb"/>
        <w:numPr>
          <w:ilvl w:val="0"/>
          <w:numId w:val="23"/>
        </w:numPr>
        <w:shd w:val="clear" w:color="auto" w:fill="FFFFFF"/>
        <w:spacing w:before="0" w:beforeAutospacing="0" w:after="0" w:afterAutospacing="0"/>
        <w:rPr>
          <w:rFonts w:ascii="Arial" w:hAnsi="Arial" w:cs="Arial"/>
          <w:sz w:val="22"/>
          <w:szCs w:val="22"/>
        </w:rPr>
      </w:pPr>
      <w:r w:rsidRPr="006F2BE9">
        <w:rPr>
          <w:rFonts w:ascii="Arial" w:hAnsi="Arial" w:cs="Arial"/>
          <w:sz w:val="22"/>
          <w:szCs w:val="22"/>
        </w:rPr>
        <w:t>Adults who are unable to consent to an investigation or treatment.</w:t>
      </w:r>
    </w:p>
    <w:p w:rsidR="009A0063" w:rsidRPr="006F2BE9" w:rsidRDefault="009A0063" w:rsidP="008C11B9">
      <w:pPr>
        <w:pStyle w:val="NormalWeb"/>
        <w:shd w:val="clear" w:color="auto" w:fill="FFFFFF"/>
        <w:spacing w:before="0" w:beforeAutospacing="0" w:after="0" w:afterAutospacing="0"/>
        <w:rPr>
          <w:rFonts w:ascii="Arial" w:hAnsi="Arial" w:cs="Arial"/>
          <w:sz w:val="22"/>
          <w:szCs w:val="22"/>
        </w:rPr>
      </w:pPr>
    </w:p>
    <w:p w:rsidR="0032774E" w:rsidRDefault="009A0063" w:rsidP="008C11B9">
      <w:pPr>
        <w:pStyle w:val="NormalWeb"/>
        <w:shd w:val="clear" w:color="auto" w:fill="FFFFFF"/>
        <w:spacing w:before="0" w:beforeAutospacing="0" w:after="0" w:afterAutospacing="0"/>
        <w:rPr>
          <w:rFonts w:ascii="Arial" w:hAnsi="Arial" w:cs="Arial"/>
          <w:color w:val="000000" w:themeColor="text1"/>
          <w:sz w:val="22"/>
          <w:szCs w:val="22"/>
        </w:rPr>
      </w:pPr>
      <w:r w:rsidRPr="006F2BE9">
        <w:rPr>
          <w:rFonts w:ascii="Arial" w:hAnsi="Arial" w:cs="Arial"/>
          <w:sz w:val="22"/>
          <w:szCs w:val="22"/>
        </w:rPr>
        <w:t xml:space="preserve">This list is not </w:t>
      </w:r>
      <w:r w:rsidR="0008162B" w:rsidRPr="006F2BE9">
        <w:rPr>
          <w:rFonts w:ascii="Arial" w:hAnsi="Arial" w:cs="Arial"/>
          <w:sz w:val="22"/>
          <w:szCs w:val="22"/>
        </w:rPr>
        <w:t>exhaustive</w:t>
      </w:r>
      <w:r w:rsidRPr="006F2BE9">
        <w:rPr>
          <w:rFonts w:ascii="Arial" w:hAnsi="Arial" w:cs="Arial"/>
          <w:sz w:val="22"/>
          <w:szCs w:val="22"/>
        </w:rPr>
        <w:t xml:space="preserve"> and clinicians must ensure that the patient has been given all the necessary information available in order for them to make a voluntary, informed decision.</w:t>
      </w:r>
    </w:p>
    <w:p w:rsidR="00262DED" w:rsidRPr="00110320" w:rsidRDefault="00262DED" w:rsidP="00110320">
      <w:pPr>
        <w:pStyle w:val="Heading2"/>
        <w:rPr>
          <w:rFonts w:ascii="Arial" w:hAnsi="Arial" w:cs="Arial"/>
          <w:sz w:val="24"/>
          <w:szCs w:val="24"/>
        </w:rPr>
      </w:pPr>
      <w:bookmarkStart w:id="141" w:name="_Toc185410498"/>
      <w:r w:rsidRPr="00110320">
        <w:rPr>
          <w:rFonts w:ascii="Arial" w:hAnsi="Arial" w:cs="Arial"/>
          <w:smallCaps w:val="0"/>
          <w:sz w:val="24"/>
          <w:szCs w:val="24"/>
          <w:lang w:val="en-GB"/>
        </w:rPr>
        <w:t>Delegation of responsibility for obtainin</w:t>
      </w:r>
      <w:r w:rsidR="00267D20" w:rsidRPr="00110320">
        <w:rPr>
          <w:rFonts w:ascii="Arial" w:hAnsi="Arial" w:cs="Arial"/>
          <w:smallCaps w:val="0"/>
          <w:sz w:val="24"/>
          <w:szCs w:val="24"/>
          <w:lang w:val="en-GB"/>
        </w:rPr>
        <w:t>g</w:t>
      </w:r>
      <w:r w:rsidRPr="00110320">
        <w:rPr>
          <w:rFonts w:ascii="Arial" w:hAnsi="Arial" w:cs="Arial"/>
          <w:smallCaps w:val="0"/>
          <w:sz w:val="24"/>
          <w:szCs w:val="24"/>
          <w:lang w:val="en-GB"/>
        </w:rPr>
        <w:t xml:space="preserve"> consent</w:t>
      </w:r>
      <w:bookmarkEnd w:id="141"/>
    </w:p>
    <w:p w:rsidR="00262DED" w:rsidRPr="00E31DC0" w:rsidRDefault="00262DED" w:rsidP="00C759DD">
      <w:pPr>
        <w:pStyle w:val="NormalWeb"/>
        <w:shd w:val="clear" w:color="auto" w:fill="FFFFFF"/>
        <w:spacing w:before="0" w:beforeAutospacing="0" w:after="0" w:afterAutospacing="0"/>
        <w:rPr>
          <w:rFonts w:ascii="Arial" w:hAnsi="Arial" w:cs="Arial"/>
          <w:color w:val="000000" w:themeColor="text1"/>
          <w:sz w:val="22"/>
          <w:szCs w:val="22"/>
        </w:rPr>
      </w:pPr>
    </w:p>
    <w:p w:rsidR="00C759DD" w:rsidRDefault="00C759DD" w:rsidP="00C759DD">
      <w:pPr>
        <w:pStyle w:val="NormalWeb"/>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lastRenderedPageBreak/>
        <w:t xml:space="preserve">The clinician undertaking the procedure or treatment may delegate the responsibility for seeking patient consent to someone else provided that they are satisfied that the </w:t>
      </w:r>
      <w:r w:rsidR="00110320" w:rsidRPr="00E31DC0">
        <w:rPr>
          <w:rFonts w:ascii="Arial" w:hAnsi="Arial" w:cs="Arial"/>
          <w:color w:val="000000" w:themeColor="text1"/>
          <w:sz w:val="22"/>
          <w:szCs w:val="22"/>
        </w:rPr>
        <w:t>person</w:t>
      </w:r>
      <w:r w:rsidRPr="00E31DC0">
        <w:rPr>
          <w:rFonts w:ascii="Arial" w:hAnsi="Arial" w:cs="Arial"/>
          <w:color w:val="000000" w:themeColor="text1"/>
          <w:sz w:val="22"/>
          <w:szCs w:val="22"/>
        </w:rPr>
        <w:t xml:space="preserve"> to whom this delegation is given:</w:t>
      </w:r>
    </w:p>
    <w:p w:rsidR="0032774E" w:rsidRPr="00FE0A3F" w:rsidRDefault="0032774E" w:rsidP="00C759DD">
      <w:pPr>
        <w:pStyle w:val="NormalWeb"/>
        <w:shd w:val="clear" w:color="auto" w:fill="FFFFFF"/>
        <w:spacing w:before="0" w:beforeAutospacing="0" w:after="0" w:afterAutospacing="0"/>
        <w:rPr>
          <w:rFonts w:ascii="Arial" w:hAnsi="Arial" w:cs="Arial"/>
          <w:color w:val="000000" w:themeColor="text1"/>
          <w:sz w:val="22"/>
          <w:szCs w:val="22"/>
        </w:rPr>
      </w:pPr>
    </w:p>
    <w:p w:rsidR="00C759DD" w:rsidRDefault="00110320" w:rsidP="00C759DD">
      <w:pPr>
        <w:pStyle w:val="NormalWeb"/>
        <w:numPr>
          <w:ilvl w:val="0"/>
          <w:numId w:val="2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H</w:t>
      </w:r>
      <w:r w:rsidR="00C759DD" w:rsidRPr="00FE0A3F">
        <w:rPr>
          <w:rFonts w:ascii="Arial" w:hAnsi="Arial" w:cs="Arial"/>
          <w:color w:val="000000" w:themeColor="text1"/>
          <w:sz w:val="22"/>
          <w:szCs w:val="22"/>
        </w:rPr>
        <w:t xml:space="preserve">as sufficient knowledge and understands the risks involved in the proposed investigation or treatment </w:t>
      </w:r>
    </w:p>
    <w:p w:rsidR="0032774E" w:rsidRPr="00911143" w:rsidRDefault="0032774E" w:rsidP="00110320">
      <w:pPr>
        <w:pStyle w:val="NormalWeb"/>
        <w:shd w:val="clear" w:color="auto" w:fill="FFFFFF"/>
        <w:spacing w:before="0" w:beforeAutospacing="0" w:after="0" w:afterAutospacing="0"/>
        <w:ind w:left="720"/>
        <w:rPr>
          <w:rFonts w:ascii="Arial" w:hAnsi="Arial" w:cs="Arial"/>
          <w:color w:val="000000" w:themeColor="text1"/>
          <w:sz w:val="22"/>
          <w:szCs w:val="22"/>
        </w:rPr>
      </w:pPr>
    </w:p>
    <w:p w:rsidR="00C759DD" w:rsidRPr="00E31DC0" w:rsidRDefault="00110320" w:rsidP="00110320">
      <w:pPr>
        <w:pStyle w:val="NormalWeb"/>
        <w:numPr>
          <w:ilvl w:val="0"/>
          <w:numId w:val="21"/>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w:t>
      </w:r>
      <w:r w:rsidR="00C759DD" w:rsidRPr="00911143">
        <w:rPr>
          <w:rFonts w:ascii="Arial" w:hAnsi="Arial" w:cs="Arial"/>
          <w:color w:val="000000" w:themeColor="text1"/>
          <w:sz w:val="22"/>
          <w:szCs w:val="22"/>
        </w:rPr>
        <w:t xml:space="preserve">s suitably trained and qualified and acts in accordance with the guidance contained in the </w:t>
      </w:r>
      <w:hyperlink r:id="rId18" w:history="1">
        <w:r w:rsidR="00443456" w:rsidRPr="00443456">
          <w:rPr>
            <w:rStyle w:val="Hyperlink"/>
            <w:rFonts w:ascii="Arial" w:hAnsi="Arial" w:cs="Arial"/>
            <w:sz w:val="22"/>
            <w:szCs w:val="22"/>
          </w:rPr>
          <w:t>BMA patient consent toolkit</w:t>
        </w:r>
      </w:hyperlink>
    </w:p>
    <w:p w:rsidR="003F5566" w:rsidRPr="00110320" w:rsidRDefault="008C11B9" w:rsidP="003F5566">
      <w:pPr>
        <w:pStyle w:val="Heading2"/>
        <w:rPr>
          <w:rFonts w:ascii="Arial" w:hAnsi="Arial" w:cs="Arial"/>
          <w:smallCaps w:val="0"/>
          <w:sz w:val="24"/>
          <w:szCs w:val="24"/>
          <w:lang w:val="en-GB"/>
        </w:rPr>
      </w:pPr>
      <w:bookmarkStart w:id="142" w:name="_Toc185410499"/>
      <w:r w:rsidRPr="00110320">
        <w:rPr>
          <w:rFonts w:ascii="Arial" w:hAnsi="Arial" w:cs="Arial"/>
          <w:smallCaps w:val="0"/>
          <w:sz w:val="24"/>
          <w:szCs w:val="24"/>
          <w:lang w:val="en-GB"/>
        </w:rPr>
        <w:t>Consent for children and young p</w:t>
      </w:r>
      <w:r w:rsidR="003F5566" w:rsidRPr="00110320">
        <w:rPr>
          <w:rFonts w:ascii="Arial" w:hAnsi="Arial" w:cs="Arial"/>
          <w:smallCaps w:val="0"/>
          <w:sz w:val="24"/>
          <w:szCs w:val="24"/>
          <w:lang w:val="en-GB"/>
        </w:rPr>
        <w:t>eople</w:t>
      </w:r>
      <w:bookmarkEnd w:id="142"/>
    </w:p>
    <w:p w:rsidR="009A0063" w:rsidRPr="00E31DC0" w:rsidRDefault="00486CBB" w:rsidP="009A0063">
      <w:pPr>
        <w:pStyle w:val="NormalWeb"/>
        <w:rPr>
          <w:rFonts w:ascii="Arial" w:hAnsi="Arial" w:cs="Arial"/>
          <w:color w:val="000000" w:themeColor="text1"/>
          <w:sz w:val="22"/>
          <w:szCs w:val="22"/>
        </w:rPr>
      </w:pPr>
      <w:r>
        <w:rPr>
          <w:rFonts w:ascii="Arial" w:hAnsi="Arial" w:cs="Arial"/>
          <w:color w:val="000000" w:themeColor="text1"/>
          <w:sz w:val="22"/>
          <w:szCs w:val="22"/>
        </w:rPr>
        <w:t xml:space="preserve">The DHSC </w:t>
      </w:r>
      <w:hyperlink r:id="rId19" w:history="1">
        <w:r w:rsidRPr="002A0F2E">
          <w:rPr>
            <w:rStyle w:val="Hyperlink"/>
            <w:rFonts w:ascii="Arial" w:hAnsi="Arial" w:cs="Arial"/>
            <w:sz w:val="22"/>
            <w:szCs w:val="22"/>
          </w:rPr>
          <w:t>Reference guide to consent for examination or treatment</w:t>
        </w:r>
        <w:r w:rsidRPr="004811CE">
          <w:rPr>
            <w:rStyle w:val="Hyperlink"/>
            <w:rFonts w:ascii="Arial" w:hAnsi="Arial" w:cs="Arial"/>
            <w:color w:val="auto"/>
            <w:sz w:val="22"/>
            <w:szCs w:val="22"/>
            <w:u w:val="none"/>
          </w:rPr>
          <w:t xml:space="preserve"> </w:t>
        </w:r>
      </w:hyperlink>
      <w:r w:rsidR="00717FC1">
        <w:rPr>
          <w:rFonts w:ascii="Arial" w:hAnsi="Arial" w:cs="Arial"/>
          <w:color w:val="000000" w:themeColor="text1"/>
          <w:sz w:val="22"/>
          <w:szCs w:val="22"/>
        </w:rPr>
        <w:t xml:space="preserve">explains </w:t>
      </w:r>
      <w:r>
        <w:rPr>
          <w:rFonts w:ascii="Arial" w:hAnsi="Arial" w:cs="Arial"/>
          <w:color w:val="000000" w:themeColor="text1"/>
          <w:sz w:val="22"/>
          <w:szCs w:val="22"/>
        </w:rPr>
        <w:t>that a</w:t>
      </w:r>
      <w:r w:rsidR="009A0063" w:rsidRPr="00911143">
        <w:rPr>
          <w:rFonts w:ascii="Arial" w:hAnsi="Arial" w:cs="Arial"/>
          <w:color w:val="000000" w:themeColor="text1"/>
          <w:sz w:val="22"/>
          <w:szCs w:val="22"/>
        </w:rPr>
        <w:t xml:space="preserve"> child under the age of </w:t>
      </w:r>
      <w:r w:rsidR="009A0063" w:rsidRPr="00920251">
        <w:rPr>
          <w:rFonts w:ascii="Arial" w:hAnsi="Arial" w:cs="Arial"/>
          <w:color w:val="000000" w:themeColor="text1"/>
          <w:sz w:val="22"/>
          <w:szCs w:val="22"/>
        </w:rPr>
        <w:t>16 may be Gillick competent to give consent to medical examinations, treatments or procedures.</w:t>
      </w:r>
      <w:r w:rsidR="0035182E">
        <w:rPr>
          <w:rFonts w:ascii="Arial" w:hAnsi="Arial" w:cs="Arial"/>
          <w:color w:val="000000" w:themeColor="text1"/>
          <w:sz w:val="22"/>
          <w:szCs w:val="22"/>
        </w:rPr>
        <w:t xml:space="preserve"> </w:t>
      </w:r>
    </w:p>
    <w:p w:rsidR="00486CBB" w:rsidRPr="00486CBB" w:rsidRDefault="004811CE" w:rsidP="00486CBB">
      <w:pPr>
        <w:pStyle w:val="NormalWeb"/>
        <w:shd w:val="clear" w:color="auto" w:fill="FFFFFF"/>
        <w:rPr>
          <w:rFonts w:ascii="Arial" w:hAnsi="Arial" w:cs="Arial"/>
          <w:color w:val="000000" w:themeColor="text1"/>
          <w:sz w:val="22"/>
          <w:szCs w:val="22"/>
        </w:rPr>
      </w:pPr>
      <w:r>
        <w:rPr>
          <w:rFonts w:ascii="Arial" w:hAnsi="Arial" w:cs="Arial"/>
          <w:sz w:val="22"/>
          <w:szCs w:val="22"/>
        </w:rPr>
        <w:t xml:space="preserve">The </w:t>
      </w:r>
      <w:hyperlink r:id="rId20" w:history="1">
        <w:r w:rsidR="00486CBB" w:rsidRPr="00486CBB">
          <w:rPr>
            <w:rStyle w:val="Hyperlink"/>
            <w:rFonts w:ascii="Arial" w:hAnsi="Arial" w:cs="Arial"/>
            <w:sz w:val="22"/>
            <w:szCs w:val="22"/>
          </w:rPr>
          <w:t>MPS</w:t>
        </w:r>
      </w:hyperlink>
      <w:r w:rsidR="00486CBB">
        <w:rPr>
          <w:rFonts w:ascii="Arial" w:hAnsi="Arial" w:cs="Arial"/>
          <w:color w:val="000000" w:themeColor="text1"/>
          <w:sz w:val="22"/>
          <w:szCs w:val="22"/>
        </w:rPr>
        <w:t xml:space="preserve"> advise</w:t>
      </w:r>
      <w:r>
        <w:rPr>
          <w:rFonts w:ascii="Arial" w:hAnsi="Arial" w:cs="Arial"/>
          <w:color w:val="000000" w:themeColor="text1"/>
          <w:sz w:val="22"/>
          <w:szCs w:val="22"/>
        </w:rPr>
        <w:t>s</w:t>
      </w:r>
      <w:r w:rsidR="00486CBB">
        <w:rPr>
          <w:rFonts w:ascii="Arial" w:hAnsi="Arial" w:cs="Arial"/>
          <w:color w:val="000000" w:themeColor="text1"/>
          <w:sz w:val="22"/>
          <w:szCs w:val="22"/>
        </w:rPr>
        <w:t xml:space="preserve"> that i</w:t>
      </w:r>
      <w:r w:rsidR="00486CBB" w:rsidRPr="00486CBB">
        <w:rPr>
          <w:rFonts w:ascii="Arial" w:hAnsi="Arial" w:cs="Arial"/>
          <w:color w:val="000000" w:themeColor="text1"/>
          <w:sz w:val="22"/>
          <w:szCs w:val="22"/>
        </w:rPr>
        <w:t xml:space="preserve">f the child is not Gillick competent, the parents can consent on behalf of the child, even if the child is refusing the treatment. However, </w:t>
      </w:r>
      <w:r w:rsidR="00486CBB">
        <w:rPr>
          <w:rFonts w:ascii="Arial" w:hAnsi="Arial" w:cs="Arial"/>
          <w:color w:val="000000" w:themeColor="text1"/>
          <w:sz w:val="22"/>
          <w:szCs w:val="22"/>
        </w:rPr>
        <w:t>clinicians</w:t>
      </w:r>
      <w:r w:rsidR="00486CBB" w:rsidRPr="00486CBB">
        <w:rPr>
          <w:rFonts w:ascii="Arial" w:hAnsi="Arial" w:cs="Arial"/>
          <w:color w:val="000000" w:themeColor="text1"/>
          <w:sz w:val="22"/>
          <w:szCs w:val="22"/>
        </w:rPr>
        <w:t xml:space="preserve"> should consider carefully whether overriding the consent of a distressed child, given the clinical circumstances at the time, is necessary. </w:t>
      </w:r>
      <w:r w:rsidR="00717FC1">
        <w:rPr>
          <w:rFonts w:ascii="Arial" w:hAnsi="Arial" w:cs="Arial"/>
          <w:color w:val="000000" w:themeColor="text1"/>
          <w:sz w:val="22"/>
          <w:szCs w:val="22"/>
        </w:rPr>
        <w:t>If</w:t>
      </w:r>
      <w:r w:rsidR="00486CBB" w:rsidRPr="00486CBB">
        <w:rPr>
          <w:rFonts w:ascii="Arial" w:hAnsi="Arial" w:cs="Arial"/>
          <w:color w:val="000000" w:themeColor="text1"/>
          <w:sz w:val="22"/>
          <w:szCs w:val="22"/>
        </w:rPr>
        <w:t xml:space="preserve"> sufficient time is given, the parents will be able to encourage the child that the intervention will be beneficial. </w:t>
      </w:r>
    </w:p>
    <w:p w:rsidR="009A0063" w:rsidRDefault="000C0EEE" w:rsidP="008C11B9">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There</w:t>
      </w:r>
      <w:r w:rsidRPr="00AB7BEE">
        <w:rPr>
          <w:rFonts w:ascii="Arial" w:hAnsi="Arial" w:cs="Arial"/>
          <w:color w:val="000000" w:themeColor="text1"/>
          <w:sz w:val="22"/>
          <w:szCs w:val="22"/>
        </w:rPr>
        <w:t xml:space="preserve"> is a duty to keep the child’s best interests at the heart of any decision and the child or young person should be involved in the decision-making process as far as possible.</w:t>
      </w:r>
      <w:r>
        <w:rPr>
          <w:rFonts w:ascii="Arial" w:hAnsi="Arial" w:cs="Arial"/>
          <w:color w:val="000000" w:themeColor="text1"/>
          <w:sz w:val="22"/>
          <w:szCs w:val="22"/>
        </w:rPr>
        <w:t xml:space="preserve"> </w:t>
      </w:r>
      <w:r w:rsidR="009A0063" w:rsidRPr="00FE0A3F">
        <w:rPr>
          <w:rFonts w:ascii="Arial" w:hAnsi="Arial" w:cs="Arial"/>
          <w:color w:val="000000" w:themeColor="text1"/>
          <w:sz w:val="22"/>
          <w:szCs w:val="22"/>
        </w:rPr>
        <w:t>However, it is deemed good practice to involve the family or carers of the child in the decision-making process</w:t>
      </w:r>
      <w:r w:rsidR="00110320">
        <w:rPr>
          <w:rFonts w:ascii="Arial" w:hAnsi="Arial" w:cs="Arial"/>
          <w:color w:val="000000" w:themeColor="text1"/>
          <w:sz w:val="22"/>
          <w:szCs w:val="22"/>
        </w:rPr>
        <w:t xml:space="preserve"> providing</w:t>
      </w:r>
      <w:r w:rsidR="009A0063" w:rsidRPr="00FE0A3F">
        <w:rPr>
          <w:rFonts w:ascii="Arial" w:hAnsi="Arial" w:cs="Arial"/>
          <w:color w:val="000000" w:themeColor="text1"/>
          <w:sz w:val="22"/>
          <w:szCs w:val="22"/>
        </w:rPr>
        <w:t xml:space="preserve"> the child is content for this information to be shared.  </w:t>
      </w:r>
    </w:p>
    <w:p w:rsidR="00486CBB" w:rsidRDefault="00486CBB" w:rsidP="008C11B9">
      <w:pPr>
        <w:pStyle w:val="NormalWeb"/>
        <w:shd w:val="clear" w:color="auto" w:fill="FFFFFF"/>
        <w:spacing w:before="0" w:beforeAutospacing="0" w:after="0" w:afterAutospacing="0"/>
        <w:rPr>
          <w:rFonts w:ascii="Arial" w:hAnsi="Arial" w:cs="Arial"/>
          <w:color w:val="000000" w:themeColor="text1"/>
          <w:sz w:val="22"/>
          <w:szCs w:val="22"/>
        </w:rPr>
      </w:pPr>
    </w:p>
    <w:p w:rsidR="00486CBB" w:rsidRPr="00FE0A3F" w:rsidRDefault="00486CBB" w:rsidP="00486CBB">
      <w:pPr>
        <w:pStyle w:val="NormalWeb"/>
        <w:shd w:val="clear" w:color="auto" w:fill="FFFFFF"/>
        <w:spacing w:before="0" w:beforeAutospacing="0" w:after="0" w:afterAutospacing="0"/>
        <w:rPr>
          <w:rFonts w:ascii="Arial" w:hAnsi="Arial" w:cs="Arial"/>
          <w:color w:val="000000" w:themeColor="text1"/>
          <w:sz w:val="22"/>
          <w:szCs w:val="22"/>
        </w:rPr>
      </w:pPr>
      <w:r w:rsidRPr="00486CBB">
        <w:rPr>
          <w:rFonts w:ascii="Arial" w:hAnsi="Arial" w:cs="Arial"/>
          <w:color w:val="000000" w:themeColor="text1"/>
          <w:sz w:val="22"/>
          <w:szCs w:val="22"/>
        </w:rPr>
        <w:t xml:space="preserve">A competent child is legally entitled to withhold consent to treatment. However, if the treating </w:t>
      </w:r>
      <w:r>
        <w:rPr>
          <w:rFonts w:ascii="Arial" w:hAnsi="Arial" w:cs="Arial"/>
          <w:color w:val="000000" w:themeColor="text1"/>
          <w:sz w:val="22"/>
          <w:szCs w:val="22"/>
        </w:rPr>
        <w:t>clinician</w:t>
      </w:r>
      <w:r w:rsidRPr="00486CBB">
        <w:rPr>
          <w:rFonts w:ascii="Arial" w:hAnsi="Arial" w:cs="Arial"/>
          <w:color w:val="000000" w:themeColor="text1"/>
          <w:sz w:val="22"/>
          <w:szCs w:val="22"/>
        </w:rPr>
        <w:t xml:space="preserve"> believes that the withholding of consent may be detrimental to the patient’s wellbeing, legal advice may be required. It may be necessary for a court to determine whether treatment can be given against the wishes of the competent young person.</w:t>
      </w:r>
    </w:p>
    <w:p w:rsidR="00E86A81" w:rsidRDefault="00E86A81" w:rsidP="003F5566">
      <w:pPr>
        <w:pStyle w:val="NormalWeb"/>
        <w:shd w:val="clear" w:color="auto" w:fill="FFFFFF"/>
        <w:spacing w:before="0" w:beforeAutospacing="0" w:after="0" w:afterAutospacing="0"/>
        <w:rPr>
          <w:rFonts w:ascii="Arial" w:hAnsi="Arial" w:cs="Arial"/>
          <w:color w:val="000000" w:themeColor="text1"/>
          <w:sz w:val="22"/>
          <w:szCs w:val="22"/>
        </w:rPr>
      </w:pPr>
    </w:p>
    <w:p w:rsidR="007A0403" w:rsidRDefault="007A0403" w:rsidP="00717FC1">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It should be noted that whil</w:t>
      </w:r>
      <w:r w:rsidR="004811CE">
        <w:rPr>
          <w:rFonts w:ascii="Arial" w:hAnsi="Arial" w:cs="Arial"/>
          <w:color w:val="000000" w:themeColor="text1"/>
          <w:sz w:val="22"/>
          <w:szCs w:val="22"/>
        </w:rPr>
        <w:t>e</w:t>
      </w:r>
      <w:r>
        <w:rPr>
          <w:rFonts w:ascii="Arial" w:hAnsi="Arial" w:cs="Arial"/>
          <w:color w:val="000000" w:themeColor="text1"/>
          <w:sz w:val="22"/>
          <w:szCs w:val="22"/>
        </w:rPr>
        <w:t xml:space="preserve"> there</w:t>
      </w:r>
      <w:r w:rsidRPr="007A0403">
        <w:rPr>
          <w:rFonts w:ascii="Arial" w:hAnsi="Arial" w:cs="Arial"/>
          <w:color w:val="000000" w:themeColor="text1"/>
          <w:sz w:val="22"/>
          <w:szCs w:val="22"/>
        </w:rPr>
        <w:t xml:space="preserve"> is no lower age limit for Gillick competence or Fraser guidelines to be applied</w:t>
      </w:r>
      <w:r>
        <w:rPr>
          <w:rFonts w:ascii="Arial" w:hAnsi="Arial" w:cs="Arial"/>
          <w:color w:val="000000" w:themeColor="text1"/>
          <w:sz w:val="22"/>
          <w:szCs w:val="22"/>
        </w:rPr>
        <w:t xml:space="preserve">, </w:t>
      </w:r>
      <w:r w:rsidRPr="007A0403">
        <w:rPr>
          <w:rFonts w:ascii="Arial" w:hAnsi="Arial" w:cs="Arial"/>
          <w:color w:val="000000" w:themeColor="text1"/>
          <w:sz w:val="22"/>
          <w:szCs w:val="22"/>
        </w:rPr>
        <w:t xml:space="preserve">it would rarely be appropriate or safe for a child </w:t>
      </w:r>
      <w:r>
        <w:rPr>
          <w:rFonts w:ascii="Arial" w:hAnsi="Arial" w:cs="Arial"/>
          <w:color w:val="000000" w:themeColor="text1"/>
          <w:sz w:val="22"/>
          <w:szCs w:val="22"/>
        </w:rPr>
        <w:t>who is under</w:t>
      </w:r>
      <w:r w:rsidRPr="007A0403">
        <w:rPr>
          <w:rFonts w:ascii="Arial" w:hAnsi="Arial" w:cs="Arial"/>
          <w:color w:val="000000" w:themeColor="text1"/>
          <w:sz w:val="22"/>
          <w:szCs w:val="22"/>
        </w:rPr>
        <w:t xml:space="preserve"> 13 years of age to consent to treatment without a parent’s involvement. </w:t>
      </w:r>
    </w:p>
    <w:p w:rsidR="00A80C1E" w:rsidRDefault="00717FC1" w:rsidP="005C2B3C">
      <w:pPr>
        <w:pStyle w:val="Heading2"/>
        <w:rPr>
          <w:rFonts w:ascii="Arial" w:hAnsi="Arial" w:cs="Arial"/>
          <w:smallCaps w:val="0"/>
          <w:sz w:val="24"/>
          <w:szCs w:val="24"/>
          <w:lang w:val="en-GB"/>
        </w:rPr>
      </w:pPr>
      <w:bookmarkStart w:id="143" w:name="_Toc185410500"/>
      <w:r>
        <w:rPr>
          <w:rFonts w:ascii="Arial" w:hAnsi="Arial" w:cs="Arial"/>
          <w:smallCaps w:val="0"/>
          <w:sz w:val="24"/>
          <w:szCs w:val="24"/>
          <w:lang w:val="en-GB"/>
        </w:rPr>
        <w:t>Under 16 safeguarding considerations</w:t>
      </w:r>
      <w:bookmarkEnd w:id="143"/>
    </w:p>
    <w:p w:rsidR="00A80C1E" w:rsidRPr="00A924CF" w:rsidRDefault="00A80C1E" w:rsidP="00A80C1E">
      <w:pPr>
        <w:rPr>
          <w:rFonts w:ascii="Arial" w:hAnsi="Arial" w:cs="Arial"/>
          <w:sz w:val="22"/>
          <w:szCs w:val="22"/>
        </w:rPr>
      </w:pPr>
    </w:p>
    <w:p w:rsidR="00C34967" w:rsidRPr="004811CE" w:rsidRDefault="000E1994" w:rsidP="00A924CF">
      <w:pPr>
        <w:rPr>
          <w:rFonts w:ascii="Arial" w:hAnsi="Arial" w:cs="Arial"/>
          <w:color w:val="000000" w:themeColor="text1"/>
          <w:sz w:val="22"/>
          <w:szCs w:val="22"/>
          <w:lang w:eastAsia="en-GB"/>
        </w:rPr>
      </w:pPr>
      <w:hyperlink r:id="rId21" w:history="1">
        <w:r w:rsidR="00717FC1" w:rsidRPr="003418F9">
          <w:rPr>
            <w:rStyle w:val="Hyperlink"/>
            <w:rFonts w:ascii="Arial" w:hAnsi="Arial" w:cs="Arial"/>
            <w:sz w:val="22"/>
            <w:szCs w:val="22"/>
          </w:rPr>
          <w:t xml:space="preserve">CQC GP </w:t>
        </w:r>
        <w:r w:rsidR="00D14C05">
          <w:rPr>
            <w:rStyle w:val="Hyperlink"/>
            <w:rFonts w:ascii="Arial" w:hAnsi="Arial" w:cs="Arial"/>
            <w:sz w:val="22"/>
            <w:szCs w:val="22"/>
          </w:rPr>
          <w:t>M</w:t>
        </w:r>
        <w:r w:rsidR="00717FC1" w:rsidRPr="003418F9">
          <w:rPr>
            <w:rStyle w:val="Hyperlink"/>
            <w:rFonts w:ascii="Arial" w:hAnsi="Arial" w:cs="Arial"/>
            <w:sz w:val="22"/>
            <w:szCs w:val="22"/>
          </w:rPr>
          <w:t>ythbuster 8: Gillick competency and Fraser guidelines</w:t>
        </w:r>
      </w:hyperlink>
      <w:r w:rsidR="00717FC1">
        <w:rPr>
          <w:rFonts w:ascii="Arial" w:hAnsi="Arial" w:cs="Arial"/>
          <w:sz w:val="22"/>
          <w:szCs w:val="22"/>
        </w:rPr>
        <w:t xml:space="preserve"> outlines the actions to be taken should </w:t>
      </w:r>
      <w:r w:rsidR="003418F9">
        <w:rPr>
          <w:rFonts w:ascii="Arial" w:hAnsi="Arial" w:cs="Arial"/>
          <w:sz w:val="22"/>
          <w:szCs w:val="22"/>
        </w:rPr>
        <w:t xml:space="preserve">a patient disclose safeguarding concerns. </w:t>
      </w:r>
    </w:p>
    <w:p w:rsidR="005C2B3C" w:rsidRDefault="005C2B3C" w:rsidP="005C2B3C">
      <w:pPr>
        <w:pStyle w:val="Heading2"/>
        <w:rPr>
          <w:rFonts w:ascii="Arial" w:hAnsi="Arial" w:cs="Arial"/>
          <w:smallCaps w:val="0"/>
          <w:sz w:val="24"/>
          <w:szCs w:val="24"/>
          <w:lang w:val="en-GB"/>
        </w:rPr>
      </w:pPr>
      <w:bookmarkStart w:id="144" w:name="_Toc185410501"/>
      <w:r w:rsidRPr="00AA27A1">
        <w:rPr>
          <w:rFonts w:ascii="Arial" w:hAnsi="Arial" w:cs="Arial"/>
          <w:smallCaps w:val="0"/>
          <w:sz w:val="24"/>
          <w:szCs w:val="24"/>
          <w:lang w:val="en-GB"/>
        </w:rPr>
        <w:t>Contact details for young people</w:t>
      </w:r>
      <w:bookmarkEnd w:id="144"/>
    </w:p>
    <w:p w:rsidR="005C2B3C" w:rsidRPr="00AA27A1" w:rsidRDefault="005C2B3C" w:rsidP="005C2B3C"/>
    <w:p w:rsidR="005C2B3C" w:rsidRPr="00AA27A1" w:rsidRDefault="004A60C6" w:rsidP="004811CE">
      <w:pPr>
        <w:rPr>
          <w:rFonts w:ascii="Arial" w:eastAsia="Times New Roman" w:hAnsi="Arial" w:cs="Arial"/>
          <w:sz w:val="22"/>
          <w:szCs w:val="22"/>
        </w:rPr>
      </w:pPr>
      <w:r>
        <w:rPr>
          <w:rFonts w:ascii="Arial" w:hAnsi="Arial" w:cs="Arial"/>
          <w:sz w:val="22"/>
          <w:szCs w:val="22"/>
        </w:rPr>
        <w:t>At this organisation,</w:t>
      </w:r>
      <w:r w:rsidR="005C2B3C" w:rsidRPr="00AA27A1">
        <w:rPr>
          <w:rFonts w:ascii="Arial" w:hAnsi="Arial" w:cs="Arial"/>
          <w:sz w:val="22"/>
          <w:szCs w:val="22"/>
        </w:rPr>
        <w:t xml:space="preserve"> requests from young persons who may wish for their personal contact details to be used to contact them as opposed to their parents or those who have parental </w:t>
      </w:r>
      <w:r w:rsidR="00EC032E" w:rsidRPr="00AA27A1">
        <w:rPr>
          <w:rFonts w:ascii="Arial" w:hAnsi="Arial" w:cs="Arial"/>
          <w:sz w:val="22"/>
          <w:szCs w:val="22"/>
        </w:rPr>
        <w:t>control</w:t>
      </w:r>
      <w:r w:rsidR="004811CE">
        <w:rPr>
          <w:rFonts w:ascii="Arial" w:hAnsi="Arial" w:cs="Arial"/>
          <w:sz w:val="22"/>
          <w:szCs w:val="22"/>
        </w:rPr>
        <w:t xml:space="preserve"> will be considered</w:t>
      </w:r>
      <w:r w:rsidR="005C2B3C" w:rsidRPr="00AA27A1">
        <w:rPr>
          <w:rFonts w:ascii="Arial" w:hAnsi="Arial" w:cs="Arial"/>
          <w:sz w:val="22"/>
          <w:szCs w:val="22"/>
        </w:rPr>
        <w:t xml:space="preserve">. </w:t>
      </w:r>
      <w:r w:rsidR="005C2B3C" w:rsidRPr="00AA27A1">
        <w:rPr>
          <w:rFonts w:ascii="Arial" w:eastAsia="Times New Roman" w:hAnsi="Arial" w:cs="Arial"/>
          <w:sz w:val="22"/>
          <w:szCs w:val="22"/>
        </w:rPr>
        <w:t xml:space="preserve">In these instances, </w:t>
      </w:r>
      <w:r w:rsidR="004811CE">
        <w:rPr>
          <w:rFonts w:ascii="Arial" w:eastAsia="Times New Roman" w:hAnsi="Arial" w:cs="Arial"/>
          <w:sz w:val="22"/>
          <w:szCs w:val="22"/>
        </w:rPr>
        <w:t>the organisation</w:t>
      </w:r>
      <w:r w:rsidR="005C2B3C" w:rsidRPr="00AA27A1">
        <w:rPr>
          <w:rFonts w:ascii="Arial" w:eastAsia="Times New Roman" w:hAnsi="Arial" w:cs="Arial"/>
          <w:sz w:val="22"/>
          <w:szCs w:val="22"/>
        </w:rPr>
        <w:t xml:space="preserve"> always </w:t>
      </w:r>
      <w:r w:rsidR="00573F90" w:rsidRPr="00AA27A1">
        <w:rPr>
          <w:rFonts w:ascii="Arial" w:eastAsia="Times New Roman" w:hAnsi="Arial" w:cs="Arial"/>
          <w:sz w:val="22"/>
          <w:szCs w:val="22"/>
        </w:rPr>
        <w:t>considers</w:t>
      </w:r>
      <w:r w:rsidR="005C2B3C" w:rsidRPr="00AA27A1">
        <w:rPr>
          <w:rFonts w:ascii="Arial" w:eastAsia="Times New Roman" w:hAnsi="Arial" w:cs="Arial"/>
          <w:sz w:val="22"/>
          <w:szCs w:val="22"/>
        </w:rPr>
        <w:t xml:space="preserve"> the patient</w:t>
      </w:r>
      <w:r w:rsidR="00A924CF">
        <w:rPr>
          <w:rFonts w:ascii="Arial" w:eastAsia="Times New Roman" w:hAnsi="Arial" w:cs="Arial"/>
          <w:sz w:val="22"/>
          <w:szCs w:val="22"/>
        </w:rPr>
        <w:t>’</w:t>
      </w:r>
      <w:r w:rsidR="005C2B3C" w:rsidRPr="00AA27A1">
        <w:rPr>
          <w:rFonts w:ascii="Arial" w:eastAsia="Times New Roman" w:hAnsi="Arial" w:cs="Arial"/>
          <w:sz w:val="22"/>
          <w:szCs w:val="22"/>
        </w:rPr>
        <w:t>s capacity and whether this is in their best interest.</w:t>
      </w:r>
    </w:p>
    <w:p w:rsidR="00CF176E" w:rsidRPr="00110320" w:rsidRDefault="00CF176E" w:rsidP="00CF176E">
      <w:pPr>
        <w:pStyle w:val="Heading2"/>
        <w:rPr>
          <w:rFonts w:ascii="Arial" w:hAnsi="Arial" w:cs="Arial"/>
          <w:smallCaps w:val="0"/>
          <w:sz w:val="24"/>
          <w:szCs w:val="24"/>
          <w:lang w:val="en-GB"/>
        </w:rPr>
      </w:pPr>
      <w:bookmarkStart w:id="145" w:name="_Toc185410502"/>
      <w:r w:rsidRPr="00110320">
        <w:rPr>
          <w:rFonts w:ascii="Arial" w:hAnsi="Arial" w:cs="Arial"/>
          <w:smallCaps w:val="0"/>
          <w:sz w:val="24"/>
          <w:szCs w:val="24"/>
          <w:lang w:val="en-GB"/>
        </w:rPr>
        <w:lastRenderedPageBreak/>
        <w:t>Parental consent</w:t>
      </w:r>
      <w:bookmarkEnd w:id="145"/>
    </w:p>
    <w:p w:rsidR="00CF176E" w:rsidRPr="00E31DC0" w:rsidRDefault="00CF176E" w:rsidP="003F5566">
      <w:pPr>
        <w:pStyle w:val="NormalWeb"/>
        <w:shd w:val="clear" w:color="auto" w:fill="FFFFFF"/>
        <w:spacing w:before="0" w:beforeAutospacing="0" w:after="0" w:afterAutospacing="0"/>
        <w:rPr>
          <w:rFonts w:ascii="Arial" w:hAnsi="Arial" w:cs="Arial"/>
          <w:b/>
          <w:color w:val="000000" w:themeColor="text1"/>
        </w:rPr>
      </w:pPr>
    </w:p>
    <w:p w:rsidR="00574DD6" w:rsidRDefault="000E1994" w:rsidP="005F4F6F">
      <w:pPr>
        <w:pStyle w:val="NormalWeb"/>
        <w:shd w:val="clear" w:color="auto" w:fill="FFFFFF"/>
        <w:spacing w:before="0" w:beforeAutospacing="0" w:after="0" w:afterAutospacing="0"/>
        <w:rPr>
          <w:rFonts w:ascii="Arial" w:hAnsi="Arial" w:cs="Arial"/>
          <w:color w:val="000000" w:themeColor="text1"/>
          <w:sz w:val="22"/>
          <w:szCs w:val="22"/>
        </w:rPr>
      </w:pPr>
      <w:hyperlink r:id="rId22" w:history="1">
        <w:r w:rsidR="00574DD6" w:rsidRPr="00574DD6">
          <w:rPr>
            <w:rStyle w:val="Hyperlink"/>
            <w:rFonts w:ascii="Arial" w:hAnsi="Arial" w:cs="Arial"/>
            <w:sz w:val="22"/>
            <w:szCs w:val="22"/>
          </w:rPr>
          <w:t>NHS England</w:t>
        </w:r>
      </w:hyperlink>
      <w:r w:rsidR="00574DD6">
        <w:rPr>
          <w:rFonts w:ascii="Arial" w:hAnsi="Arial" w:cs="Arial"/>
          <w:color w:val="000000" w:themeColor="text1"/>
          <w:sz w:val="22"/>
          <w:szCs w:val="22"/>
        </w:rPr>
        <w:t xml:space="preserve"> provide</w:t>
      </w:r>
      <w:r w:rsidR="00D14C05">
        <w:rPr>
          <w:rFonts w:ascii="Arial" w:hAnsi="Arial" w:cs="Arial"/>
          <w:color w:val="000000" w:themeColor="text1"/>
          <w:sz w:val="22"/>
          <w:szCs w:val="22"/>
        </w:rPr>
        <w:t>s</w:t>
      </w:r>
      <w:r w:rsidR="00574DD6">
        <w:rPr>
          <w:rFonts w:ascii="Arial" w:hAnsi="Arial" w:cs="Arial"/>
          <w:color w:val="000000" w:themeColor="text1"/>
          <w:sz w:val="22"/>
          <w:szCs w:val="22"/>
        </w:rPr>
        <w:t xml:space="preserve"> guidance on parental responsibility and consent, including parental disagreements. </w:t>
      </w:r>
    </w:p>
    <w:p w:rsidR="00574DD6" w:rsidRDefault="00574DD6" w:rsidP="005F4F6F">
      <w:pPr>
        <w:pStyle w:val="NormalWeb"/>
        <w:shd w:val="clear" w:color="auto" w:fill="FFFFFF"/>
        <w:spacing w:before="0" w:beforeAutospacing="0" w:after="0" w:afterAutospacing="0"/>
        <w:rPr>
          <w:rFonts w:ascii="Arial" w:hAnsi="Arial" w:cs="Arial"/>
          <w:color w:val="000000" w:themeColor="text1"/>
          <w:sz w:val="22"/>
          <w:szCs w:val="22"/>
        </w:rPr>
      </w:pPr>
    </w:p>
    <w:p w:rsidR="00CF176E" w:rsidRPr="004811CE" w:rsidRDefault="000E1994" w:rsidP="003F5566">
      <w:pPr>
        <w:pStyle w:val="NormalWeb"/>
        <w:shd w:val="clear" w:color="auto" w:fill="FFFFFF"/>
        <w:spacing w:before="0" w:beforeAutospacing="0" w:after="0" w:afterAutospacing="0"/>
        <w:rPr>
          <w:rFonts w:ascii="Arial" w:hAnsi="Arial" w:cs="Arial"/>
          <w:color w:val="000000" w:themeColor="text1"/>
          <w:sz w:val="22"/>
          <w:szCs w:val="22"/>
        </w:rPr>
      </w:pPr>
      <w:hyperlink r:id="rId23" w:history="1">
        <w:r w:rsidR="00574DD6" w:rsidRPr="00574DD6">
          <w:rPr>
            <w:rStyle w:val="Hyperlink"/>
            <w:rFonts w:ascii="Arial" w:hAnsi="Arial" w:cs="Arial"/>
            <w:sz w:val="22"/>
            <w:szCs w:val="22"/>
          </w:rPr>
          <w:t>The Green Book</w:t>
        </w:r>
      </w:hyperlink>
      <w:r w:rsidR="00574DD6">
        <w:rPr>
          <w:rFonts w:ascii="Arial" w:hAnsi="Arial" w:cs="Arial"/>
          <w:color w:val="000000" w:themeColor="text1"/>
          <w:sz w:val="22"/>
          <w:szCs w:val="22"/>
        </w:rPr>
        <w:t xml:space="preserve">, Chapter 2, covers the principles of consent for immunisation, explaining that </w:t>
      </w:r>
      <w:r w:rsidR="00CF176E" w:rsidRPr="00FE0A3F">
        <w:rPr>
          <w:rFonts w:ascii="Arial" w:hAnsi="Arial" w:cs="Arial"/>
          <w:color w:val="000000" w:themeColor="text1"/>
          <w:sz w:val="22"/>
          <w:szCs w:val="22"/>
        </w:rPr>
        <w:t>if one adult consents and the other disagrees, the immunisation should not be carried out unless both adults with parental responsibility agree to the immunisation or there is court approval for the immunisation to be administered as it is in the best interests of the child.</w:t>
      </w:r>
    </w:p>
    <w:p w:rsidR="00CF176E" w:rsidRPr="00911143" w:rsidRDefault="00CF176E" w:rsidP="003F5566">
      <w:pPr>
        <w:pStyle w:val="NormalWeb"/>
        <w:shd w:val="clear" w:color="auto" w:fill="FFFFFF"/>
        <w:spacing w:before="0" w:beforeAutospacing="0" w:after="0" w:afterAutospacing="0"/>
        <w:rPr>
          <w:rFonts w:ascii="Arial" w:hAnsi="Arial" w:cs="Arial"/>
          <w:color w:val="000000" w:themeColor="text1"/>
          <w:sz w:val="16"/>
          <w:szCs w:val="16"/>
        </w:rPr>
      </w:pPr>
    </w:p>
    <w:p w:rsidR="00E74909" w:rsidRDefault="004A60C6" w:rsidP="00CF176E">
      <w:pPr>
        <w:shd w:val="clear" w:color="auto" w:fill="FFFFFF"/>
        <w:rPr>
          <w:rFonts w:ascii="Arial" w:hAnsi="Arial" w:cs="Arial"/>
          <w:color w:val="000000" w:themeColor="text1"/>
          <w:sz w:val="22"/>
          <w:szCs w:val="22"/>
          <w:lang w:eastAsia="en-GB"/>
        </w:rPr>
      </w:pPr>
      <w:r>
        <w:rPr>
          <w:rFonts w:ascii="Arial" w:hAnsi="Arial" w:cs="Arial"/>
          <w:color w:val="000000" w:themeColor="text1"/>
          <w:sz w:val="22"/>
          <w:szCs w:val="22"/>
          <w:lang w:eastAsia="en-GB"/>
        </w:rPr>
        <w:t>S</w:t>
      </w:r>
      <w:r w:rsidR="00CF176E" w:rsidRPr="00E31DC0">
        <w:rPr>
          <w:rFonts w:ascii="Arial" w:hAnsi="Arial" w:cs="Arial"/>
          <w:color w:val="000000" w:themeColor="text1"/>
          <w:sz w:val="22"/>
          <w:szCs w:val="22"/>
          <w:lang w:eastAsia="en-GB"/>
        </w:rPr>
        <w:t>hould there be a</w:t>
      </w:r>
      <w:r>
        <w:rPr>
          <w:rFonts w:ascii="Arial" w:hAnsi="Arial" w:cs="Arial"/>
          <w:color w:val="000000" w:themeColor="text1"/>
          <w:sz w:val="22"/>
          <w:szCs w:val="22"/>
          <w:lang w:eastAsia="en-GB"/>
        </w:rPr>
        <w:t>ny</w:t>
      </w:r>
      <w:r w:rsidR="00CF176E" w:rsidRPr="00E31DC0">
        <w:rPr>
          <w:rFonts w:ascii="Arial" w:hAnsi="Arial" w:cs="Arial"/>
          <w:color w:val="000000" w:themeColor="text1"/>
          <w:sz w:val="22"/>
          <w:szCs w:val="22"/>
          <w:lang w:eastAsia="en-GB"/>
        </w:rPr>
        <w:t xml:space="preserve"> dispute, </w:t>
      </w:r>
      <w:r w:rsidR="00574DD6">
        <w:rPr>
          <w:rFonts w:ascii="Arial" w:hAnsi="Arial" w:cs="Arial"/>
          <w:color w:val="000000" w:themeColor="text1"/>
          <w:sz w:val="22"/>
          <w:szCs w:val="22"/>
          <w:lang w:eastAsia="en-GB"/>
        </w:rPr>
        <w:t xml:space="preserve">a senior clinician and the </w:t>
      </w:r>
      <w:r w:rsidR="00D14C05">
        <w:rPr>
          <w:rFonts w:ascii="Arial" w:hAnsi="Arial" w:cs="Arial"/>
          <w:color w:val="000000" w:themeColor="text1"/>
          <w:sz w:val="22"/>
          <w:szCs w:val="22"/>
          <w:lang w:eastAsia="en-GB"/>
        </w:rPr>
        <w:t>Organisation Manager</w:t>
      </w:r>
      <w:r w:rsidR="00D14C05" w:rsidRPr="00E31DC0">
        <w:rPr>
          <w:rFonts w:ascii="Arial" w:hAnsi="Arial" w:cs="Arial"/>
          <w:color w:val="000000" w:themeColor="text1"/>
          <w:sz w:val="22"/>
          <w:szCs w:val="22"/>
          <w:lang w:eastAsia="en-GB"/>
        </w:rPr>
        <w:t xml:space="preserve"> </w:t>
      </w:r>
      <w:r w:rsidR="00CF176E" w:rsidRPr="00E31DC0">
        <w:rPr>
          <w:rFonts w:ascii="Arial" w:hAnsi="Arial" w:cs="Arial"/>
          <w:color w:val="000000" w:themeColor="text1"/>
          <w:sz w:val="22"/>
          <w:szCs w:val="22"/>
          <w:lang w:eastAsia="en-GB"/>
        </w:rPr>
        <w:t xml:space="preserve">are to be consulted as to the most appropriate way to resolve the dispute. </w:t>
      </w:r>
      <w:r w:rsidR="00795095" w:rsidRPr="00E31DC0">
        <w:rPr>
          <w:rFonts w:ascii="Arial" w:hAnsi="Arial" w:cs="Arial"/>
          <w:color w:val="000000" w:themeColor="text1"/>
          <w:sz w:val="22"/>
          <w:szCs w:val="22"/>
          <w:lang w:eastAsia="en-GB"/>
        </w:rPr>
        <w:t>The advice of the medical protection body should, whe</w:t>
      </w:r>
      <w:r w:rsidR="00D14C05">
        <w:rPr>
          <w:rFonts w:ascii="Arial" w:hAnsi="Arial" w:cs="Arial"/>
          <w:color w:val="000000" w:themeColor="text1"/>
          <w:sz w:val="22"/>
          <w:szCs w:val="22"/>
          <w:lang w:eastAsia="en-GB"/>
        </w:rPr>
        <w:t>n</w:t>
      </w:r>
      <w:r w:rsidR="00795095" w:rsidRPr="00E31DC0">
        <w:rPr>
          <w:rFonts w:ascii="Arial" w:hAnsi="Arial" w:cs="Arial"/>
          <w:color w:val="000000" w:themeColor="text1"/>
          <w:sz w:val="22"/>
          <w:szCs w:val="22"/>
          <w:lang w:eastAsia="en-GB"/>
        </w:rPr>
        <w:t xml:space="preserve"> necessary, be obtained.</w:t>
      </w:r>
    </w:p>
    <w:p w:rsidR="003F5566" w:rsidRPr="00110320" w:rsidRDefault="003F5566" w:rsidP="003F5566">
      <w:pPr>
        <w:pStyle w:val="Heading2"/>
        <w:rPr>
          <w:rFonts w:ascii="Arial" w:hAnsi="Arial" w:cs="Arial"/>
          <w:smallCaps w:val="0"/>
          <w:sz w:val="24"/>
          <w:szCs w:val="24"/>
          <w:lang w:val="en-GB"/>
        </w:rPr>
      </w:pPr>
      <w:bookmarkStart w:id="146" w:name="_Toc145510434"/>
      <w:bookmarkStart w:id="147" w:name="_Toc145510489"/>
      <w:bookmarkStart w:id="148" w:name="_Toc145510909"/>
      <w:bookmarkStart w:id="149" w:name="_Toc185410503"/>
      <w:bookmarkEnd w:id="146"/>
      <w:bookmarkEnd w:id="147"/>
      <w:bookmarkEnd w:id="148"/>
      <w:r w:rsidRPr="00110320">
        <w:rPr>
          <w:rFonts w:ascii="Arial" w:hAnsi="Arial" w:cs="Arial"/>
          <w:smallCaps w:val="0"/>
          <w:sz w:val="24"/>
          <w:szCs w:val="24"/>
          <w:lang w:val="en-GB"/>
        </w:rPr>
        <w:t>Immunisations</w:t>
      </w:r>
      <w:bookmarkEnd w:id="149"/>
    </w:p>
    <w:p w:rsidR="00956BA3" w:rsidRPr="00FE0A3F" w:rsidRDefault="00956BA3" w:rsidP="00956BA3">
      <w:pPr>
        <w:pStyle w:val="NormalWeb"/>
        <w:rPr>
          <w:rFonts w:ascii="Arial" w:hAnsi="Arial" w:cs="Arial"/>
          <w:sz w:val="22"/>
          <w:szCs w:val="22"/>
        </w:rPr>
      </w:pPr>
      <w:r w:rsidRPr="00FE0A3F">
        <w:rPr>
          <w:rFonts w:ascii="Arial" w:hAnsi="Arial" w:cs="Arial"/>
          <w:color w:val="000000" w:themeColor="text1"/>
          <w:sz w:val="22"/>
          <w:szCs w:val="22"/>
        </w:rPr>
        <w:t xml:space="preserve">In accordance with </w:t>
      </w:r>
      <w:hyperlink r:id="rId24" w:history="1">
        <w:r w:rsidR="00010CD3" w:rsidRPr="00010CD3">
          <w:rPr>
            <w:rStyle w:val="Hyperlink"/>
            <w:rFonts w:ascii="Arial" w:hAnsi="Arial" w:cs="Arial"/>
            <w:sz w:val="22"/>
            <w:szCs w:val="22"/>
          </w:rPr>
          <w:t xml:space="preserve">The </w:t>
        </w:r>
        <w:r w:rsidRPr="00010CD3">
          <w:rPr>
            <w:rStyle w:val="Hyperlink"/>
            <w:rFonts w:ascii="Arial" w:hAnsi="Arial" w:cs="Arial"/>
            <w:sz w:val="22"/>
            <w:szCs w:val="22"/>
          </w:rPr>
          <w:t>Green Book</w:t>
        </w:r>
        <w:r w:rsidR="00010CD3" w:rsidRPr="00010CD3">
          <w:rPr>
            <w:rStyle w:val="Hyperlink"/>
            <w:rFonts w:ascii="Arial" w:hAnsi="Arial" w:cs="Arial"/>
            <w:sz w:val="22"/>
            <w:szCs w:val="22"/>
          </w:rPr>
          <w:t xml:space="preserve"> – Consent</w:t>
        </w:r>
      </w:hyperlink>
      <w:r w:rsidR="00574DD6">
        <w:rPr>
          <w:rFonts w:ascii="Arial" w:hAnsi="Arial" w:cs="Arial"/>
          <w:color w:val="000000" w:themeColor="text1"/>
          <w:sz w:val="22"/>
          <w:szCs w:val="22"/>
        </w:rPr>
        <w:t>, t</w:t>
      </w:r>
      <w:r w:rsidR="00010CD3" w:rsidRPr="00010CD3">
        <w:rPr>
          <w:rFonts w:ascii="Arial" w:hAnsi="Arial" w:cs="Arial"/>
          <w:sz w:val="22"/>
          <w:szCs w:val="22"/>
        </w:rPr>
        <w:t>here is no requirement for consent to immunisation to be in writing, but it is good clinical practice to record that a discussion has taken place and consent has been obtained. The completion of a consent form is not a substitute for the provision</w:t>
      </w:r>
      <w:r w:rsidR="00010CD3">
        <w:rPr>
          <w:rFonts w:ascii="Arial" w:hAnsi="Arial" w:cs="Arial"/>
          <w:sz w:val="22"/>
          <w:szCs w:val="22"/>
        </w:rPr>
        <w:t>.</w:t>
      </w:r>
      <w:r w:rsidR="00574DD6">
        <w:rPr>
          <w:rFonts w:ascii="Arial" w:hAnsi="Arial" w:cs="Arial"/>
          <w:sz w:val="22"/>
          <w:szCs w:val="22"/>
        </w:rPr>
        <w:t xml:space="preserve"> </w:t>
      </w:r>
      <w:r w:rsidRPr="00FE0A3F">
        <w:rPr>
          <w:rFonts w:ascii="Arial" w:hAnsi="Arial" w:cs="Arial"/>
          <w:sz w:val="22"/>
          <w:szCs w:val="22"/>
        </w:rPr>
        <w:t xml:space="preserve">For a patient requiring a course of vaccinations, consent must be obtained each time they attend to have a vaccination.  </w:t>
      </w:r>
    </w:p>
    <w:p w:rsidR="003F5566" w:rsidRPr="00110320" w:rsidRDefault="008C11B9" w:rsidP="003F5566">
      <w:pPr>
        <w:pStyle w:val="Heading2"/>
        <w:rPr>
          <w:rFonts w:ascii="Arial" w:hAnsi="Arial" w:cs="Arial"/>
          <w:smallCaps w:val="0"/>
          <w:sz w:val="24"/>
          <w:szCs w:val="24"/>
          <w:lang w:val="en-GB"/>
        </w:rPr>
      </w:pPr>
      <w:bookmarkStart w:id="150" w:name="_Toc185410504"/>
      <w:r w:rsidRPr="00110320">
        <w:rPr>
          <w:rFonts w:ascii="Arial" w:hAnsi="Arial" w:cs="Arial"/>
          <w:smallCaps w:val="0"/>
          <w:sz w:val="24"/>
          <w:szCs w:val="24"/>
          <w:lang w:val="en-GB"/>
        </w:rPr>
        <w:t>Lack of mental c</w:t>
      </w:r>
      <w:r w:rsidR="003F5566" w:rsidRPr="00110320">
        <w:rPr>
          <w:rFonts w:ascii="Arial" w:hAnsi="Arial" w:cs="Arial"/>
          <w:smallCaps w:val="0"/>
          <w:sz w:val="24"/>
          <w:szCs w:val="24"/>
          <w:lang w:val="en-GB"/>
        </w:rPr>
        <w:t>apacity</w:t>
      </w:r>
      <w:bookmarkEnd w:id="150"/>
    </w:p>
    <w:p w:rsidR="003F5566" w:rsidRPr="00110320" w:rsidRDefault="003F5566" w:rsidP="003F5566"/>
    <w:p w:rsidR="0023709E" w:rsidRDefault="00956BA3" w:rsidP="00204546">
      <w:pPr>
        <w:pStyle w:val="NormalWeb"/>
        <w:shd w:val="clear" w:color="auto" w:fill="FFFFFF"/>
        <w:spacing w:before="0" w:beforeAutospacing="0" w:after="0" w:afterAutospacing="0"/>
        <w:rPr>
          <w:rFonts w:ascii="Arial" w:hAnsi="Arial" w:cs="Arial"/>
          <w:color w:val="000000" w:themeColor="text1"/>
          <w:sz w:val="22"/>
          <w:szCs w:val="22"/>
        </w:rPr>
      </w:pPr>
      <w:r w:rsidRPr="00E31DC0">
        <w:rPr>
          <w:rFonts w:ascii="Arial" w:hAnsi="Arial" w:cs="Arial"/>
          <w:color w:val="000000" w:themeColor="text1"/>
          <w:sz w:val="22"/>
          <w:szCs w:val="22"/>
        </w:rPr>
        <w:t xml:space="preserve">Patients who do not have the capacity to make an informed, voluntary decision are protected under the </w:t>
      </w:r>
      <w:hyperlink r:id="rId25" w:history="1">
        <w:r w:rsidRPr="00E86A81">
          <w:rPr>
            <w:rStyle w:val="Hyperlink"/>
            <w:rFonts w:ascii="Arial" w:hAnsi="Arial" w:cs="Arial"/>
            <w:sz w:val="22"/>
            <w:szCs w:val="22"/>
          </w:rPr>
          <w:t>Mental Health Act (MHA) 2005</w:t>
        </w:r>
      </w:hyperlink>
      <w:r w:rsidRPr="00E31DC0">
        <w:rPr>
          <w:rFonts w:ascii="Arial" w:hAnsi="Arial" w:cs="Arial"/>
          <w:color w:val="000000" w:themeColor="text1"/>
          <w:sz w:val="22"/>
          <w:szCs w:val="22"/>
        </w:rPr>
        <w:t>. The MHA only applies to those patients living in England and Wales.</w:t>
      </w:r>
      <w:r w:rsidR="009F4E36">
        <w:rPr>
          <w:rFonts w:ascii="Arial" w:hAnsi="Arial" w:cs="Arial"/>
          <w:color w:val="000000" w:themeColor="text1"/>
          <w:sz w:val="22"/>
          <w:szCs w:val="22"/>
        </w:rPr>
        <w:t xml:space="preserve"> </w:t>
      </w:r>
    </w:p>
    <w:p w:rsidR="0023709E" w:rsidRPr="00FE0A3F" w:rsidRDefault="0023709E" w:rsidP="00204546">
      <w:pPr>
        <w:pStyle w:val="NormalWeb"/>
        <w:shd w:val="clear" w:color="auto" w:fill="FFFFFF"/>
        <w:spacing w:before="0" w:beforeAutospacing="0" w:after="0" w:afterAutospacing="0"/>
        <w:rPr>
          <w:rFonts w:ascii="Arial" w:hAnsi="Arial" w:cs="Arial"/>
          <w:color w:val="000000" w:themeColor="text1"/>
          <w:sz w:val="22"/>
          <w:szCs w:val="22"/>
        </w:rPr>
      </w:pPr>
    </w:p>
    <w:p w:rsidR="009F4E36" w:rsidRDefault="00956BA3" w:rsidP="004811CE">
      <w:pPr>
        <w:pStyle w:val="NormalWeb"/>
        <w:shd w:val="clear" w:color="auto" w:fill="FFFFFF"/>
        <w:spacing w:before="0" w:beforeAutospacing="0" w:after="0" w:afterAutospacing="0"/>
        <w:rPr>
          <w:rFonts w:ascii="Arial" w:hAnsi="Arial" w:cs="Arial"/>
          <w:sz w:val="22"/>
          <w:szCs w:val="22"/>
        </w:rPr>
      </w:pPr>
      <w:r w:rsidRPr="00FE0A3F">
        <w:rPr>
          <w:rFonts w:ascii="Arial" w:hAnsi="Arial" w:cs="Arial"/>
          <w:color w:val="000000" w:themeColor="text1"/>
          <w:sz w:val="22"/>
          <w:szCs w:val="22"/>
        </w:rPr>
        <w:t xml:space="preserve">A person is defined as lacking capacity if </w:t>
      </w:r>
      <w:r w:rsidR="00D14C05">
        <w:rPr>
          <w:rFonts w:ascii="Arial" w:hAnsi="Arial" w:cs="Arial"/>
          <w:color w:val="000000" w:themeColor="text1"/>
          <w:sz w:val="22"/>
          <w:szCs w:val="22"/>
        </w:rPr>
        <w:t>“</w:t>
      </w:r>
      <w:r w:rsidRPr="00FE0A3F">
        <w:rPr>
          <w:rFonts w:ascii="Arial" w:hAnsi="Arial" w:cs="Arial"/>
          <w:color w:val="000000" w:themeColor="text1"/>
          <w:sz w:val="22"/>
          <w:szCs w:val="22"/>
        </w:rPr>
        <w:t xml:space="preserve">they are </w:t>
      </w:r>
      <w:r w:rsidRPr="00FE0A3F">
        <w:rPr>
          <w:rFonts w:ascii="Arial" w:hAnsi="Arial" w:cs="Arial"/>
          <w:sz w:val="22"/>
          <w:szCs w:val="22"/>
        </w:rPr>
        <w:t>unable to make a decision for themselves because of an impairment or disturbance in the functioning of their mind or brain</w:t>
      </w:r>
      <w:r w:rsidR="00D14C05">
        <w:rPr>
          <w:rFonts w:ascii="Arial" w:hAnsi="Arial" w:cs="Arial"/>
          <w:sz w:val="22"/>
          <w:szCs w:val="22"/>
        </w:rPr>
        <w:t>”</w:t>
      </w:r>
      <w:r w:rsidRPr="00FE0A3F">
        <w:rPr>
          <w:rFonts w:ascii="Arial" w:hAnsi="Arial" w:cs="Arial"/>
          <w:sz w:val="22"/>
          <w:szCs w:val="22"/>
        </w:rPr>
        <w:t xml:space="preserve">. </w:t>
      </w:r>
    </w:p>
    <w:p w:rsidR="009F4E36" w:rsidRPr="002B66E7" w:rsidRDefault="002B66E7" w:rsidP="004811CE">
      <w:pPr>
        <w:pStyle w:val="NormalWeb"/>
        <w:shd w:val="clear" w:color="auto" w:fill="FFFFFF"/>
        <w:spacing w:before="0" w:beforeAutospacing="0" w:after="0" w:afterAutospacing="0"/>
        <w:rPr>
          <w:rStyle w:val="Hyperlink"/>
          <w:rFonts w:ascii="Arial" w:hAnsi="Arial" w:cs="Arial"/>
          <w:color w:val="auto"/>
          <w:sz w:val="22"/>
          <w:szCs w:val="22"/>
          <w:u w:val="none"/>
        </w:rPr>
      </w:pPr>
      <w:r>
        <w:rPr>
          <w:rFonts w:ascii="Arial" w:hAnsi="Arial" w:cs="Arial"/>
          <w:sz w:val="22"/>
          <w:szCs w:val="22"/>
        </w:rPr>
        <w:t>NHS England provide</w:t>
      </w:r>
      <w:r w:rsidR="00D14C05">
        <w:rPr>
          <w:rFonts w:ascii="Arial" w:hAnsi="Arial" w:cs="Arial"/>
          <w:sz w:val="22"/>
          <w:szCs w:val="22"/>
        </w:rPr>
        <w:t>s</w:t>
      </w:r>
      <w:r>
        <w:rPr>
          <w:rFonts w:ascii="Arial" w:hAnsi="Arial" w:cs="Arial"/>
          <w:sz w:val="22"/>
          <w:szCs w:val="22"/>
        </w:rPr>
        <w:t xml:space="preserve"> detailed guidance on </w:t>
      </w:r>
      <w:hyperlink r:id="rId26" w:history="1">
        <w:r w:rsidRPr="002B66E7">
          <w:rPr>
            <w:rStyle w:val="Hyperlink"/>
            <w:rFonts w:ascii="Arial" w:hAnsi="Arial" w:cs="Arial"/>
            <w:sz w:val="22"/>
            <w:szCs w:val="22"/>
          </w:rPr>
          <w:t>Assessing capacity and consent to treatment</w:t>
        </w:r>
      </w:hyperlink>
      <w:r>
        <w:rPr>
          <w:rFonts w:ascii="Arial" w:hAnsi="Arial" w:cs="Arial"/>
          <w:sz w:val="22"/>
          <w:szCs w:val="22"/>
        </w:rPr>
        <w:t xml:space="preserve">. Additional guidance can be found in the organisation’s </w:t>
      </w:r>
      <w:hyperlink r:id="rId27" w:history="1">
        <w:r w:rsidR="00D14C05" w:rsidRPr="008D1151">
          <w:rPr>
            <w:rStyle w:val="Hyperlink"/>
            <w:rFonts w:ascii="Arial" w:hAnsi="Arial" w:cs="Arial"/>
            <w:sz w:val="22"/>
            <w:szCs w:val="22"/>
          </w:rPr>
          <w:t>Mental Capacity Act Policy</w:t>
        </w:r>
      </w:hyperlink>
      <w:r w:rsidR="009F4E36" w:rsidRPr="009F4E36">
        <w:rPr>
          <w:rFonts w:ascii="Arial" w:hAnsi="Arial" w:cs="Arial"/>
          <w:sz w:val="22"/>
          <w:szCs w:val="22"/>
        </w:rPr>
        <w:t xml:space="preserve"> and </w:t>
      </w:r>
      <w:hyperlink r:id="rId28" w:history="1">
        <w:r w:rsidR="009F4E36" w:rsidRPr="009F4E36">
          <w:rPr>
            <w:rStyle w:val="Hyperlink"/>
            <w:rFonts w:ascii="Arial" w:hAnsi="Arial" w:cs="Arial"/>
            <w:sz w:val="22"/>
            <w:szCs w:val="22"/>
          </w:rPr>
          <w:t>www.mind.org.uk</w:t>
        </w:r>
      </w:hyperlink>
      <w:r w:rsidR="0023709E" w:rsidRPr="004811CE">
        <w:rPr>
          <w:rStyle w:val="Hyperlink"/>
          <w:rFonts w:ascii="Arial" w:hAnsi="Arial" w:cs="Arial"/>
          <w:sz w:val="22"/>
          <w:szCs w:val="22"/>
          <w:u w:val="none"/>
        </w:rPr>
        <w:t>.</w:t>
      </w:r>
    </w:p>
    <w:p w:rsidR="00733A28" w:rsidRDefault="00733A28" w:rsidP="004811CE">
      <w:pPr>
        <w:pStyle w:val="NormalWeb"/>
        <w:shd w:val="clear" w:color="auto" w:fill="FFFFFF"/>
        <w:spacing w:before="0" w:beforeAutospacing="0" w:after="0" w:afterAutospacing="0"/>
        <w:rPr>
          <w:rStyle w:val="Hyperlink"/>
          <w:rFonts w:ascii="Arial" w:hAnsi="Arial" w:cs="Arial"/>
          <w:sz w:val="22"/>
          <w:szCs w:val="22"/>
          <w:u w:val="none"/>
        </w:rPr>
      </w:pPr>
    </w:p>
    <w:p w:rsidR="00733A28" w:rsidRDefault="00733A28" w:rsidP="004811CE">
      <w:pPr>
        <w:pStyle w:val="NormalWeb"/>
        <w:shd w:val="clear" w:color="auto" w:fill="FFFFFF"/>
        <w:spacing w:before="0" w:beforeAutospacing="0" w:after="0" w:afterAutospacing="0"/>
        <w:rPr>
          <w:rStyle w:val="Hyperlink"/>
          <w:rFonts w:ascii="Arial" w:hAnsi="Arial" w:cs="Arial"/>
          <w:sz w:val="22"/>
          <w:szCs w:val="22"/>
          <w:u w:val="none"/>
        </w:rPr>
      </w:pPr>
    </w:p>
    <w:p w:rsidR="00733A28" w:rsidRDefault="00733A28" w:rsidP="004811CE">
      <w:pPr>
        <w:pStyle w:val="NormalWeb"/>
        <w:shd w:val="clear" w:color="auto" w:fill="FFFFFF"/>
        <w:spacing w:before="0" w:beforeAutospacing="0" w:after="0" w:afterAutospacing="0"/>
        <w:rPr>
          <w:rStyle w:val="Hyperlink"/>
          <w:rFonts w:ascii="Arial" w:hAnsi="Arial" w:cs="Arial"/>
          <w:sz w:val="22"/>
          <w:szCs w:val="22"/>
          <w:u w:val="none"/>
        </w:rPr>
      </w:pPr>
    </w:p>
    <w:p w:rsidR="00733A28" w:rsidRDefault="00733A28"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2B66E7" w:rsidRDefault="002B66E7" w:rsidP="004811CE">
      <w:pPr>
        <w:pStyle w:val="NormalWeb"/>
        <w:shd w:val="clear" w:color="auto" w:fill="FFFFFF"/>
        <w:spacing w:before="0" w:beforeAutospacing="0" w:after="0" w:afterAutospacing="0"/>
        <w:rPr>
          <w:rStyle w:val="Hyperlink"/>
          <w:rFonts w:ascii="Arial" w:hAnsi="Arial" w:cs="Arial"/>
          <w:sz w:val="22"/>
          <w:szCs w:val="22"/>
          <w:u w:val="none"/>
        </w:rPr>
      </w:pPr>
    </w:p>
    <w:p w:rsidR="003B6653" w:rsidRPr="00E31DC0" w:rsidRDefault="003B6653">
      <w:pPr>
        <w:rPr>
          <w:rFonts w:ascii="Arial" w:hAnsi="Arial" w:cs="Arial"/>
          <w:sz w:val="22"/>
          <w:szCs w:val="22"/>
          <w:lang w:eastAsia="en-GB"/>
        </w:rPr>
      </w:pPr>
    </w:p>
    <w:p w:rsidR="00333ADB" w:rsidRPr="00110320" w:rsidRDefault="00333ADB" w:rsidP="00ED7414">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51" w:name="_Annex_A_–"/>
      <w:bookmarkStart w:id="152" w:name="_Toc185410505"/>
      <w:bookmarkEnd w:id="151"/>
      <w:r w:rsidRPr="00110320">
        <w:rPr>
          <w:sz w:val="28"/>
          <w:szCs w:val="28"/>
        </w:rPr>
        <w:t xml:space="preserve">Annex A – Consent </w:t>
      </w:r>
      <w:r w:rsidR="00005B10">
        <w:rPr>
          <w:sz w:val="28"/>
          <w:szCs w:val="28"/>
        </w:rPr>
        <w:t>f</w:t>
      </w:r>
      <w:r w:rsidRPr="00110320">
        <w:rPr>
          <w:sz w:val="28"/>
          <w:szCs w:val="28"/>
        </w:rPr>
        <w:t>orm</w:t>
      </w:r>
      <w:bookmarkEnd w:id="152"/>
    </w:p>
    <w:p w:rsidR="00755CA3" w:rsidRPr="00110320" w:rsidRDefault="00755CA3" w:rsidP="00110320">
      <w:pPr>
        <w:pStyle w:val="NormalWeb"/>
        <w:spacing w:before="0" w:beforeAutospacing="0" w:after="0" w:afterAutospacing="0"/>
        <w:rPr>
          <w:rFonts w:asciiTheme="minorHAnsi" w:hAnsiTheme="minorHAnsi"/>
          <w:bCs/>
          <w:sz w:val="4"/>
          <w:szCs w:val="4"/>
        </w:rPr>
      </w:pPr>
    </w:p>
    <w:tbl>
      <w:tblPr>
        <w:tblStyle w:val="TableGrid"/>
        <w:tblW w:w="0" w:type="auto"/>
        <w:tblLook w:val="04A0"/>
      </w:tblPr>
      <w:tblGrid>
        <w:gridCol w:w="1696"/>
        <w:gridCol w:w="2471"/>
        <w:gridCol w:w="1640"/>
        <w:gridCol w:w="2524"/>
      </w:tblGrid>
      <w:tr w:rsidR="00733A28" w:rsidRPr="000C0EEE" w:rsidTr="00D66DC1">
        <w:trPr>
          <w:trHeight w:val="278"/>
        </w:trPr>
        <w:tc>
          <w:tcPr>
            <w:tcW w:w="8331" w:type="dxa"/>
            <w:gridSpan w:val="4"/>
            <w:shd w:val="clear" w:color="auto" w:fill="4472C4" w:themeFill="accent1"/>
          </w:tcPr>
          <w:p w:rsidR="00733A28" w:rsidRPr="00ED7414" w:rsidRDefault="00733A28" w:rsidP="008D1151">
            <w:pPr>
              <w:pStyle w:val="NormalWeb"/>
              <w:spacing w:before="0" w:beforeAutospacing="0" w:after="0" w:afterAutospacing="0"/>
              <w:jc w:val="center"/>
              <w:rPr>
                <w:rFonts w:ascii="Arial" w:hAnsi="Arial" w:cs="Arial"/>
                <w:b/>
                <w:bCs/>
                <w:color w:val="FFFFFF" w:themeColor="background1"/>
                <w:sz w:val="28"/>
                <w:szCs w:val="28"/>
              </w:rPr>
            </w:pPr>
            <w:r w:rsidRPr="00ED7414">
              <w:rPr>
                <w:rFonts w:ascii="Arial" w:hAnsi="Arial" w:cs="Arial"/>
                <w:b/>
                <w:bCs/>
                <w:color w:val="FFFFFF" w:themeColor="background1"/>
                <w:sz w:val="28"/>
                <w:szCs w:val="28"/>
              </w:rPr>
              <w:t>CONSENT FORM</w:t>
            </w:r>
          </w:p>
          <w:p w:rsidR="00733A28" w:rsidRPr="00ED7414" w:rsidRDefault="00733A28" w:rsidP="008D1151">
            <w:pPr>
              <w:pStyle w:val="NormalWeb"/>
              <w:spacing w:before="0" w:beforeAutospacing="0" w:after="0" w:afterAutospacing="0"/>
              <w:jc w:val="center"/>
              <w:rPr>
                <w:rFonts w:ascii="Arial" w:hAnsi="Arial" w:cs="Arial"/>
                <w:b/>
                <w:bCs/>
                <w:color w:val="FFFFFF" w:themeColor="background1"/>
                <w:sz w:val="12"/>
                <w:szCs w:val="12"/>
              </w:rPr>
            </w:pPr>
          </w:p>
          <w:p w:rsidR="00733A28" w:rsidRPr="00ED7414" w:rsidRDefault="00733A28" w:rsidP="008D1151">
            <w:pPr>
              <w:pStyle w:val="NormalWeb"/>
              <w:spacing w:before="0" w:beforeAutospacing="0" w:after="0" w:afterAutospacing="0"/>
              <w:jc w:val="center"/>
              <w:rPr>
                <w:rFonts w:ascii="Arial" w:hAnsi="Arial" w:cs="Arial"/>
                <w:b/>
                <w:bCs/>
                <w:color w:val="FFFFFF" w:themeColor="background1"/>
              </w:rPr>
            </w:pPr>
            <w:r w:rsidRPr="00ED7414">
              <w:rPr>
                <w:rFonts w:ascii="Arial" w:hAnsi="Arial" w:cs="Arial"/>
                <w:b/>
                <w:bCs/>
                <w:color w:val="FFFFFF" w:themeColor="background1"/>
                <w:sz w:val="22"/>
                <w:szCs w:val="22"/>
              </w:rPr>
              <w:t xml:space="preserve">PATIENT AGREEMENT TO INVESTIGATION OR TREATMENT </w:t>
            </w:r>
            <w:r w:rsidRPr="00ED7414">
              <w:rPr>
                <w:rFonts w:ascii="Arial" w:hAnsi="Arial" w:cs="Arial"/>
                <w:b/>
                <w:color w:val="FFFFFF" w:themeColor="background1"/>
                <w:sz w:val="22"/>
                <w:szCs w:val="22"/>
              </w:rPr>
              <w:t xml:space="preserve"> </w:t>
            </w:r>
          </w:p>
        </w:tc>
      </w:tr>
      <w:tr w:rsidR="00733A28" w:rsidRPr="000C0EEE" w:rsidTr="00D66DC1">
        <w:trPr>
          <w:trHeight w:val="305"/>
        </w:trPr>
        <w:tc>
          <w:tcPr>
            <w:tcW w:w="8331" w:type="dxa"/>
            <w:gridSpan w:val="4"/>
            <w:shd w:val="clear" w:color="auto" w:fill="4472C4" w:themeFill="accent1"/>
          </w:tcPr>
          <w:p w:rsidR="00733A28" w:rsidRPr="00ED7414" w:rsidRDefault="00733A28" w:rsidP="008D1151">
            <w:pPr>
              <w:pStyle w:val="NormalWeb"/>
              <w:jc w:val="center"/>
              <w:rPr>
                <w:rFonts w:ascii="Arial" w:hAnsi="Arial" w:cs="Arial"/>
                <w:color w:val="FFFFFF" w:themeColor="background1"/>
              </w:rPr>
            </w:pPr>
            <w:r w:rsidRPr="00ED7414">
              <w:rPr>
                <w:rFonts w:ascii="Arial" w:hAnsi="Arial" w:cs="Arial"/>
                <w:color w:val="FFFFFF" w:themeColor="background1"/>
              </w:rPr>
              <w:t xml:space="preserve">This form is to be used for treatment, immunisation, examination </w:t>
            </w:r>
            <w:r w:rsidRPr="00ED7414">
              <w:rPr>
                <w:rFonts w:ascii="Arial" w:hAnsi="Arial" w:cs="Arial"/>
                <w:color w:val="FFFFFF" w:themeColor="background1"/>
              </w:rPr>
              <w:br/>
              <w:t>or minor operation</w:t>
            </w:r>
          </w:p>
        </w:tc>
      </w:tr>
      <w:tr w:rsidR="00733A28" w:rsidRPr="000C0EEE" w:rsidTr="00D66DC1">
        <w:trPr>
          <w:trHeight w:val="287"/>
        </w:trPr>
        <w:tc>
          <w:tcPr>
            <w:tcW w:w="8331" w:type="dxa"/>
            <w:gridSpan w:val="4"/>
            <w:shd w:val="clear" w:color="auto" w:fill="4472C4" w:themeFill="accent1"/>
          </w:tcPr>
          <w:p w:rsidR="00733A28" w:rsidRPr="00ED7414" w:rsidRDefault="00733A28" w:rsidP="008D1151">
            <w:pPr>
              <w:pStyle w:val="NormalWeb"/>
              <w:jc w:val="center"/>
              <w:rPr>
                <w:rFonts w:ascii="Arial" w:hAnsi="Arial" w:cs="Arial"/>
                <w:b/>
                <w:color w:val="FFFFFF" w:themeColor="background1"/>
              </w:rPr>
            </w:pPr>
            <w:r w:rsidRPr="00ED7414">
              <w:rPr>
                <w:rFonts w:ascii="Arial" w:hAnsi="Arial" w:cs="Arial"/>
                <w:b/>
                <w:color w:val="FFFFFF" w:themeColor="background1"/>
              </w:rPr>
              <w:t>PATIENT DETAILS</w:t>
            </w:r>
          </w:p>
        </w:tc>
      </w:tr>
      <w:tr w:rsidR="00733A28" w:rsidRPr="00E31DC0" w:rsidTr="00D66DC1">
        <w:tc>
          <w:tcPr>
            <w:tcW w:w="1696" w:type="dxa"/>
            <w:shd w:val="clear" w:color="auto" w:fill="4472C4" w:themeFill="accent1"/>
          </w:tcPr>
          <w:p w:rsidR="00733A28" w:rsidRPr="00ED7414" w:rsidRDefault="00733A28" w:rsidP="00D66DC1">
            <w:pPr>
              <w:pStyle w:val="NormalWeb"/>
              <w:spacing w:before="60" w:beforeAutospacing="0" w:after="60" w:afterAutospacing="0"/>
              <w:rPr>
                <w:rFonts w:ascii="Arial" w:hAnsi="Arial" w:cs="Arial"/>
                <w:b/>
                <w:color w:val="FFFFFF" w:themeColor="background1"/>
              </w:rPr>
            </w:pPr>
            <w:r w:rsidRPr="00ED7414">
              <w:rPr>
                <w:rFonts w:ascii="Arial" w:hAnsi="Arial" w:cs="Arial"/>
                <w:b/>
                <w:color w:val="FFFFFF" w:themeColor="background1"/>
              </w:rPr>
              <w:t>Surname</w:t>
            </w:r>
          </w:p>
        </w:tc>
        <w:tc>
          <w:tcPr>
            <w:tcW w:w="2471" w:type="dxa"/>
          </w:tcPr>
          <w:p w:rsidR="00733A28" w:rsidRPr="00E31DC0" w:rsidRDefault="00733A28" w:rsidP="00D66DC1">
            <w:pPr>
              <w:pStyle w:val="NormalWeb"/>
              <w:spacing w:before="60" w:beforeAutospacing="0" w:after="60" w:afterAutospacing="0"/>
              <w:rPr>
                <w:rFonts w:ascii="Arial" w:hAnsi="Arial" w:cs="Arial"/>
              </w:rPr>
            </w:pPr>
          </w:p>
        </w:tc>
        <w:tc>
          <w:tcPr>
            <w:tcW w:w="1640" w:type="dxa"/>
            <w:shd w:val="clear" w:color="auto" w:fill="4472C4" w:themeFill="accent1"/>
          </w:tcPr>
          <w:p w:rsidR="00733A28" w:rsidRPr="00ED7414" w:rsidRDefault="00733A28" w:rsidP="00D66DC1">
            <w:pPr>
              <w:pStyle w:val="NormalWeb"/>
              <w:spacing w:before="60" w:beforeAutospacing="0" w:after="60" w:afterAutospacing="0"/>
              <w:rPr>
                <w:rFonts w:ascii="Arial" w:hAnsi="Arial" w:cs="Arial"/>
                <w:b/>
                <w:color w:val="FFFFFF" w:themeColor="background1"/>
              </w:rPr>
            </w:pPr>
            <w:r w:rsidRPr="00ED7414">
              <w:rPr>
                <w:rFonts w:ascii="Arial" w:hAnsi="Arial" w:cs="Arial"/>
                <w:b/>
                <w:color w:val="FFFFFF" w:themeColor="background1"/>
              </w:rPr>
              <w:t>Forename</w:t>
            </w:r>
          </w:p>
        </w:tc>
        <w:tc>
          <w:tcPr>
            <w:tcW w:w="2524" w:type="dxa"/>
          </w:tcPr>
          <w:p w:rsidR="00733A28" w:rsidRPr="00E31DC0" w:rsidRDefault="00733A28" w:rsidP="00D66DC1">
            <w:pPr>
              <w:pStyle w:val="NormalWeb"/>
              <w:spacing w:before="60" w:beforeAutospacing="0" w:after="60" w:afterAutospacing="0"/>
              <w:rPr>
                <w:rFonts w:ascii="Arial" w:hAnsi="Arial" w:cs="Arial"/>
              </w:rPr>
            </w:pPr>
          </w:p>
        </w:tc>
      </w:tr>
      <w:tr w:rsidR="00733A28" w:rsidRPr="00E31DC0" w:rsidTr="00D66DC1">
        <w:tc>
          <w:tcPr>
            <w:tcW w:w="1696" w:type="dxa"/>
            <w:shd w:val="clear" w:color="auto" w:fill="4472C4" w:themeFill="accent1"/>
          </w:tcPr>
          <w:p w:rsidR="00733A28" w:rsidRPr="00ED7414" w:rsidRDefault="00733A28" w:rsidP="00D66DC1">
            <w:pPr>
              <w:pStyle w:val="NormalWeb"/>
              <w:spacing w:before="60" w:beforeAutospacing="0" w:after="60" w:afterAutospacing="0"/>
              <w:rPr>
                <w:rFonts w:ascii="Arial" w:hAnsi="Arial" w:cs="Arial"/>
                <w:b/>
                <w:color w:val="FFFFFF" w:themeColor="background1"/>
              </w:rPr>
            </w:pPr>
            <w:r w:rsidRPr="00ED7414">
              <w:rPr>
                <w:rFonts w:ascii="Arial" w:hAnsi="Arial" w:cs="Arial"/>
                <w:b/>
                <w:color w:val="FFFFFF" w:themeColor="background1"/>
              </w:rPr>
              <w:t>Title</w:t>
            </w:r>
          </w:p>
        </w:tc>
        <w:tc>
          <w:tcPr>
            <w:tcW w:w="2471" w:type="dxa"/>
          </w:tcPr>
          <w:p w:rsidR="00733A28" w:rsidRPr="00E31DC0" w:rsidRDefault="00733A28" w:rsidP="00D66DC1">
            <w:pPr>
              <w:pStyle w:val="NormalWeb"/>
              <w:spacing w:before="60" w:beforeAutospacing="0" w:after="60" w:afterAutospacing="0"/>
              <w:rPr>
                <w:rFonts w:ascii="Arial" w:hAnsi="Arial" w:cs="Arial"/>
              </w:rPr>
            </w:pPr>
          </w:p>
        </w:tc>
        <w:tc>
          <w:tcPr>
            <w:tcW w:w="1640" w:type="dxa"/>
            <w:shd w:val="clear" w:color="auto" w:fill="4472C4" w:themeFill="accent1"/>
          </w:tcPr>
          <w:p w:rsidR="00733A28" w:rsidRPr="00ED7414" w:rsidRDefault="00733A28" w:rsidP="00D66DC1">
            <w:pPr>
              <w:pStyle w:val="NormalWeb"/>
              <w:spacing w:before="60" w:beforeAutospacing="0" w:after="60" w:afterAutospacing="0"/>
              <w:rPr>
                <w:rFonts w:ascii="Arial" w:hAnsi="Arial" w:cs="Arial"/>
                <w:b/>
                <w:color w:val="FFFFFF" w:themeColor="background1"/>
              </w:rPr>
            </w:pPr>
            <w:r w:rsidRPr="00ED7414">
              <w:rPr>
                <w:rFonts w:ascii="Arial" w:hAnsi="Arial" w:cs="Arial"/>
                <w:b/>
                <w:color w:val="FFFFFF" w:themeColor="background1"/>
              </w:rPr>
              <w:t>Sex</w:t>
            </w:r>
          </w:p>
        </w:tc>
        <w:tc>
          <w:tcPr>
            <w:tcW w:w="2524" w:type="dxa"/>
          </w:tcPr>
          <w:p w:rsidR="00733A28" w:rsidRPr="00E31DC0" w:rsidRDefault="00733A28" w:rsidP="00D66DC1">
            <w:pPr>
              <w:pStyle w:val="NormalWeb"/>
              <w:spacing w:before="60" w:beforeAutospacing="0" w:after="60" w:afterAutospacing="0"/>
              <w:rPr>
                <w:rFonts w:ascii="Arial" w:hAnsi="Arial" w:cs="Arial"/>
              </w:rPr>
            </w:pPr>
          </w:p>
        </w:tc>
      </w:tr>
      <w:tr w:rsidR="00733A28" w:rsidRPr="00E31DC0" w:rsidTr="00D66DC1">
        <w:tc>
          <w:tcPr>
            <w:tcW w:w="1696" w:type="dxa"/>
            <w:shd w:val="clear" w:color="auto" w:fill="4472C4" w:themeFill="accent1"/>
          </w:tcPr>
          <w:p w:rsidR="00733A28" w:rsidRPr="00ED7414" w:rsidRDefault="00733A28" w:rsidP="00D66DC1">
            <w:pPr>
              <w:pStyle w:val="NormalWeb"/>
              <w:spacing w:before="60" w:beforeAutospacing="0" w:after="60" w:afterAutospacing="0"/>
              <w:rPr>
                <w:rFonts w:ascii="Arial" w:hAnsi="Arial" w:cs="Arial"/>
                <w:b/>
                <w:color w:val="FFFFFF" w:themeColor="background1"/>
              </w:rPr>
            </w:pPr>
            <w:r w:rsidRPr="00ED7414">
              <w:rPr>
                <w:rFonts w:ascii="Arial" w:hAnsi="Arial" w:cs="Arial"/>
                <w:b/>
                <w:color w:val="FFFFFF" w:themeColor="background1"/>
              </w:rPr>
              <w:t>NHS No.</w:t>
            </w:r>
          </w:p>
        </w:tc>
        <w:tc>
          <w:tcPr>
            <w:tcW w:w="2471" w:type="dxa"/>
          </w:tcPr>
          <w:p w:rsidR="00733A28" w:rsidRPr="00E31DC0" w:rsidRDefault="00733A28" w:rsidP="00D66DC1">
            <w:pPr>
              <w:pStyle w:val="NormalWeb"/>
              <w:spacing w:before="60" w:beforeAutospacing="0" w:after="60" w:afterAutospacing="0"/>
              <w:rPr>
                <w:rFonts w:ascii="Arial" w:hAnsi="Arial" w:cs="Arial"/>
              </w:rPr>
            </w:pPr>
          </w:p>
        </w:tc>
        <w:tc>
          <w:tcPr>
            <w:tcW w:w="1640" w:type="dxa"/>
            <w:shd w:val="clear" w:color="auto" w:fill="4472C4" w:themeFill="accent1"/>
          </w:tcPr>
          <w:p w:rsidR="00733A28" w:rsidRPr="00ED7414" w:rsidRDefault="00733A28" w:rsidP="00D66DC1">
            <w:pPr>
              <w:pStyle w:val="NormalWeb"/>
              <w:spacing w:before="60" w:beforeAutospacing="0" w:after="60" w:afterAutospacing="0"/>
              <w:rPr>
                <w:rFonts w:ascii="Arial" w:hAnsi="Arial" w:cs="Arial"/>
                <w:b/>
                <w:color w:val="FFFFFF" w:themeColor="background1"/>
              </w:rPr>
            </w:pPr>
            <w:r w:rsidRPr="00ED7414">
              <w:rPr>
                <w:rFonts w:ascii="Arial" w:hAnsi="Arial" w:cs="Arial"/>
                <w:b/>
                <w:color w:val="FFFFFF" w:themeColor="background1"/>
              </w:rPr>
              <w:t>Date of birth</w:t>
            </w:r>
          </w:p>
        </w:tc>
        <w:tc>
          <w:tcPr>
            <w:tcW w:w="2524" w:type="dxa"/>
          </w:tcPr>
          <w:p w:rsidR="00733A28" w:rsidRPr="00E31DC0" w:rsidRDefault="00733A28" w:rsidP="00D66DC1">
            <w:pPr>
              <w:pStyle w:val="NormalWeb"/>
              <w:spacing w:before="60" w:beforeAutospacing="0" w:after="60" w:afterAutospacing="0"/>
              <w:rPr>
                <w:rFonts w:ascii="Arial" w:hAnsi="Arial" w:cs="Arial"/>
              </w:rPr>
            </w:pPr>
          </w:p>
        </w:tc>
      </w:tr>
      <w:tr w:rsidR="00733A28" w:rsidRPr="000C0EEE" w:rsidTr="00D66DC1">
        <w:tc>
          <w:tcPr>
            <w:tcW w:w="8331" w:type="dxa"/>
            <w:gridSpan w:val="4"/>
            <w:shd w:val="clear" w:color="auto" w:fill="4472C4" w:themeFill="accent1"/>
          </w:tcPr>
          <w:p w:rsidR="00733A28" w:rsidRPr="00ED7414" w:rsidRDefault="00733A28" w:rsidP="008D1151">
            <w:pPr>
              <w:pStyle w:val="NormalWeb"/>
              <w:jc w:val="center"/>
              <w:rPr>
                <w:rFonts w:ascii="Arial" w:hAnsi="Arial" w:cs="Arial"/>
                <w:b/>
                <w:color w:val="FFFFFF" w:themeColor="background1"/>
              </w:rPr>
            </w:pPr>
            <w:r w:rsidRPr="00ED7414">
              <w:rPr>
                <w:rFonts w:ascii="Arial" w:hAnsi="Arial" w:cs="Arial"/>
                <w:b/>
                <w:color w:val="FFFFFF" w:themeColor="background1"/>
              </w:rPr>
              <w:t>PROCEDURE DETAILS</w:t>
            </w:r>
          </w:p>
        </w:tc>
      </w:tr>
      <w:tr w:rsidR="00733A28" w:rsidRPr="0032774E" w:rsidTr="00D66DC1">
        <w:trPr>
          <w:trHeight w:val="1719"/>
        </w:trPr>
        <w:tc>
          <w:tcPr>
            <w:tcW w:w="8331" w:type="dxa"/>
            <w:gridSpan w:val="4"/>
          </w:tcPr>
          <w:p w:rsidR="00733A28" w:rsidRPr="00110320" w:rsidRDefault="00733A28" w:rsidP="008D1151">
            <w:pPr>
              <w:pStyle w:val="NormalWeb"/>
              <w:rPr>
                <w:rFonts w:ascii="Arial" w:hAnsi="Arial" w:cs="Arial"/>
                <w:sz w:val="22"/>
                <w:szCs w:val="22"/>
              </w:rPr>
            </w:pPr>
            <w:r w:rsidRPr="00110320">
              <w:rPr>
                <w:rFonts w:ascii="Arial" w:hAnsi="Arial" w:cs="Arial"/>
                <w:sz w:val="22"/>
                <w:szCs w:val="22"/>
              </w:rPr>
              <w:t>The clinician has discussed with the patient the following:</w:t>
            </w:r>
          </w:p>
          <w:p w:rsidR="00733A28" w:rsidRPr="00110320" w:rsidRDefault="00733A28" w:rsidP="008D1151">
            <w:pPr>
              <w:pStyle w:val="NormalWeb"/>
              <w:numPr>
                <w:ilvl w:val="0"/>
                <w:numId w:val="17"/>
              </w:numPr>
              <w:rPr>
                <w:rFonts w:ascii="Arial" w:hAnsi="Arial" w:cs="Arial"/>
                <w:sz w:val="22"/>
                <w:szCs w:val="22"/>
              </w:rPr>
            </w:pPr>
            <w:r w:rsidRPr="00110320">
              <w:rPr>
                <w:rFonts w:ascii="Arial" w:hAnsi="Arial" w:cs="Arial"/>
                <w:sz w:val="22"/>
                <w:szCs w:val="22"/>
              </w:rPr>
              <w:t>The nature of the procedure, techniques used and aftercare</w:t>
            </w:r>
          </w:p>
          <w:p w:rsidR="00733A28" w:rsidRPr="00110320" w:rsidRDefault="00733A28" w:rsidP="008D1151">
            <w:pPr>
              <w:pStyle w:val="NormalWeb"/>
              <w:numPr>
                <w:ilvl w:val="0"/>
                <w:numId w:val="17"/>
              </w:numPr>
              <w:rPr>
                <w:rFonts w:ascii="Arial" w:hAnsi="Arial" w:cs="Arial"/>
                <w:sz w:val="22"/>
                <w:szCs w:val="22"/>
              </w:rPr>
            </w:pPr>
            <w:r w:rsidRPr="00110320">
              <w:rPr>
                <w:rFonts w:ascii="Arial" w:hAnsi="Arial" w:cs="Arial"/>
                <w:sz w:val="22"/>
                <w:szCs w:val="22"/>
              </w:rPr>
              <w:t>The associated benefits and risks</w:t>
            </w:r>
          </w:p>
          <w:p w:rsidR="00733A28" w:rsidRPr="00110320" w:rsidRDefault="00733A28" w:rsidP="008D1151">
            <w:pPr>
              <w:pStyle w:val="NormalWeb"/>
              <w:numPr>
                <w:ilvl w:val="0"/>
                <w:numId w:val="17"/>
              </w:numPr>
              <w:rPr>
                <w:rFonts w:ascii="Arial" w:hAnsi="Arial" w:cs="Arial"/>
                <w:sz w:val="22"/>
                <w:szCs w:val="22"/>
              </w:rPr>
            </w:pPr>
            <w:r w:rsidRPr="00110320">
              <w:rPr>
                <w:rFonts w:ascii="Arial" w:hAnsi="Arial" w:cs="Arial"/>
                <w:sz w:val="22"/>
                <w:szCs w:val="22"/>
              </w:rPr>
              <w:t>Any follow-up procedures, examinations or other pertinent information</w:t>
            </w:r>
          </w:p>
          <w:p w:rsidR="00733A28" w:rsidRPr="00110320" w:rsidRDefault="00733A28" w:rsidP="008D1151">
            <w:pPr>
              <w:pStyle w:val="NormalWeb"/>
              <w:numPr>
                <w:ilvl w:val="0"/>
                <w:numId w:val="17"/>
              </w:numPr>
              <w:spacing w:before="0" w:beforeAutospacing="0" w:after="120" w:afterAutospacing="0"/>
              <w:ind w:left="714" w:hanging="357"/>
              <w:rPr>
                <w:rFonts w:ascii="Arial" w:hAnsi="Arial" w:cs="Arial"/>
                <w:sz w:val="22"/>
                <w:szCs w:val="22"/>
              </w:rPr>
            </w:pPr>
            <w:r w:rsidRPr="00110320">
              <w:rPr>
                <w:rFonts w:ascii="Arial" w:hAnsi="Arial" w:cs="Arial"/>
                <w:sz w:val="22"/>
                <w:szCs w:val="22"/>
              </w:rPr>
              <w:t>The rights of the patient</w:t>
            </w:r>
          </w:p>
        </w:tc>
      </w:tr>
      <w:tr w:rsidR="00733A28" w:rsidRPr="00E31DC0" w:rsidTr="00D66DC1">
        <w:tc>
          <w:tcPr>
            <w:tcW w:w="1696"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t>Name of clinician</w:t>
            </w:r>
          </w:p>
        </w:tc>
        <w:tc>
          <w:tcPr>
            <w:tcW w:w="2471" w:type="dxa"/>
          </w:tcPr>
          <w:p w:rsidR="00733A28" w:rsidRPr="00E86A81" w:rsidRDefault="00733A28" w:rsidP="008D1151">
            <w:pPr>
              <w:pStyle w:val="NormalWeb"/>
              <w:rPr>
                <w:rFonts w:ascii="Arial" w:hAnsi="Arial" w:cs="Arial"/>
                <w:b/>
              </w:rPr>
            </w:pPr>
          </w:p>
          <w:p w:rsidR="00733A28" w:rsidRPr="00E31DC0" w:rsidRDefault="00733A28" w:rsidP="008D1151">
            <w:pPr>
              <w:pStyle w:val="NormalWeb"/>
              <w:rPr>
                <w:rFonts w:ascii="Arial" w:hAnsi="Arial" w:cs="Arial"/>
                <w:b/>
              </w:rPr>
            </w:pPr>
          </w:p>
        </w:tc>
        <w:tc>
          <w:tcPr>
            <w:tcW w:w="1640" w:type="dxa"/>
            <w:shd w:val="clear" w:color="auto" w:fill="4472C4" w:themeFill="accent1"/>
          </w:tcPr>
          <w:p w:rsidR="00733A28" w:rsidRPr="00ED7414" w:rsidRDefault="00733A28" w:rsidP="008D1151">
            <w:pPr>
              <w:pStyle w:val="NormalWeb"/>
              <w:rPr>
                <w:rFonts w:ascii="Arial" w:hAnsi="Arial" w:cs="Arial"/>
                <w:b/>
                <w:color w:val="FFFFFF" w:themeColor="background1"/>
              </w:rPr>
            </w:pPr>
            <w:r>
              <w:rPr>
                <w:rFonts w:ascii="Arial" w:hAnsi="Arial" w:cs="Arial"/>
                <w:b/>
                <w:color w:val="FFFFFF" w:themeColor="background1"/>
              </w:rPr>
              <w:t>Role</w:t>
            </w:r>
          </w:p>
        </w:tc>
        <w:tc>
          <w:tcPr>
            <w:tcW w:w="2524" w:type="dxa"/>
          </w:tcPr>
          <w:p w:rsidR="00733A28" w:rsidRPr="00E31DC0" w:rsidRDefault="00733A28" w:rsidP="008D1151">
            <w:pPr>
              <w:pStyle w:val="NormalWeb"/>
              <w:rPr>
                <w:rFonts w:ascii="Arial" w:hAnsi="Arial" w:cs="Arial"/>
                <w:b/>
              </w:rPr>
            </w:pPr>
          </w:p>
        </w:tc>
      </w:tr>
      <w:tr w:rsidR="00733A28" w:rsidRPr="00E31DC0" w:rsidTr="00D66DC1">
        <w:tc>
          <w:tcPr>
            <w:tcW w:w="1696"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t>Date of procedure</w:t>
            </w:r>
          </w:p>
        </w:tc>
        <w:tc>
          <w:tcPr>
            <w:tcW w:w="2471" w:type="dxa"/>
          </w:tcPr>
          <w:p w:rsidR="00733A28" w:rsidRPr="00E31DC0" w:rsidRDefault="00733A28" w:rsidP="008D1151">
            <w:pPr>
              <w:pStyle w:val="NormalWeb"/>
              <w:rPr>
                <w:rFonts w:ascii="Arial" w:hAnsi="Arial" w:cs="Arial"/>
                <w:b/>
              </w:rPr>
            </w:pPr>
          </w:p>
          <w:p w:rsidR="00733A28" w:rsidRPr="00E31DC0" w:rsidRDefault="00733A28" w:rsidP="008D1151">
            <w:pPr>
              <w:pStyle w:val="NormalWeb"/>
              <w:rPr>
                <w:rFonts w:ascii="Arial" w:hAnsi="Arial" w:cs="Arial"/>
                <w:b/>
              </w:rPr>
            </w:pPr>
          </w:p>
        </w:tc>
        <w:tc>
          <w:tcPr>
            <w:tcW w:w="1640"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t>Location</w:t>
            </w:r>
          </w:p>
        </w:tc>
        <w:tc>
          <w:tcPr>
            <w:tcW w:w="2524" w:type="dxa"/>
          </w:tcPr>
          <w:p w:rsidR="00733A28" w:rsidRPr="00E31DC0" w:rsidRDefault="00733A28" w:rsidP="008D1151">
            <w:pPr>
              <w:pStyle w:val="NormalWeb"/>
              <w:rPr>
                <w:rFonts w:ascii="Arial" w:hAnsi="Arial" w:cs="Arial"/>
                <w:b/>
              </w:rPr>
            </w:pPr>
          </w:p>
        </w:tc>
      </w:tr>
      <w:tr w:rsidR="00733A28" w:rsidRPr="00E31DC0" w:rsidTr="00D66DC1">
        <w:tc>
          <w:tcPr>
            <w:tcW w:w="1696"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t>Type of procedure</w:t>
            </w:r>
          </w:p>
        </w:tc>
        <w:tc>
          <w:tcPr>
            <w:tcW w:w="6635" w:type="dxa"/>
            <w:gridSpan w:val="3"/>
          </w:tcPr>
          <w:p w:rsidR="00733A28" w:rsidRPr="00E31DC0" w:rsidRDefault="00733A28" w:rsidP="008D1151">
            <w:pPr>
              <w:pStyle w:val="NormalWeb"/>
              <w:rPr>
                <w:rFonts w:ascii="Arial" w:hAnsi="Arial" w:cs="Arial"/>
                <w:b/>
              </w:rPr>
            </w:pPr>
          </w:p>
          <w:p w:rsidR="00733A28" w:rsidRDefault="00733A28" w:rsidP="008D1151">
            <w:pPr>
              <w:pStyle w:val="NormalWeb"/>
              <w:rPr>
                <w:rFonts w:ascii="Arial" w:hAnsi="Arial" w:cs="Arial"/>
                <w:b/>
              </w:rPr>
            </w:pPr>
          </w:p>
          <w:p w:rsidR="00733A28" w:rsidRPr="00755CA3" w:rsidRDefault="00733A28" w:rsidP="008D1151">
            <w:pPr>
              <w:pStyle w:val="NormalWeb"/>
              <w:rPr>
                <w:rFonts w:ascii="Arial" w:hAnsi="Arial" w:cs="Arial"/>
                <w:b/>
              </w:rPr>
            </w:pPr>
          </w:p>
        </w:tc>
      </w:tr>
      <w:tr w:rsidR="00733A28" w:rsidRPr="00E31DC0" w:rsidTr="00D66DC1">
        <w:trPr>
          <w:trHeight w:val="1114"/>
        </w:trPr>
        <w:tc>
          <w:tcPr>
            <w:tcW w:w="1696"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t>Clinician’s signature, print name and date</w:t>
            </w:r>
          </w:p>
        </w:tc>
        <w:tc>
          <w:tcPr>
            <w:tcW w:w="4111" w:type="dxa"/>
            <w:gridSpan w:val="2"/>
          </w:tcPr>
          <w:p w:rsidR="00733A28" w:rsidRPr="00110320" w:rsidRDefault="00733A28" w:rsidP="008D1151">
            <w:pPr>
              <w:pStyle w:val="NormalWeb"/>
              <w:rPr>
                <w:rFonts w:ascii="Arial" w:hAnsi="Arial" w:cs="Arial"/>
                <w:b/>
                <w:sz w:val="48"/>
                <w:szCs w:val="48"/>
              </w:rPr>
            </w:pPr>
          </w:p>
        </w:tc>
        <w:tc>
          <w:tcPr>
            <w:tcW w:w="2524" w:type="dxa"/>
          </w:tcPr>
          <w:p w:rsidR="00733A28" w:rsidRPr="0032774E" w:rsidRDefault="00733A28" w:rsidP="008D1151">
            <w:pPr>
              <w:pStyle w:val="NormalWeb"/>
              <w:rPr>
                <w:rFonts w:ascii="Arial" w:hAnsi="Arial" w:cs="Arial"/>
                <w:b/>
              </w:rPr>
            </w:pPr>
          </w:p>
        </w:tc>
      </w:tr>
      <w:tr w:rsidR="00733A28" w:rsidRPr="000C0EEE" w:rsidTr="00D66DC1">
        <w:tc>
          <w:tcPr>
            <w:tcW w:w="8331" w:type="dxa"/>
            <w:gridSpan w:val="4"/>
            <w:shd w:val="clear" w:color="auto" w:fill="4472C4" w:themeFill="accent1"/>
          </w:tcPr>
          <w:p w:rsidR="00733A28" w:rsidRPr="00ED7414" w:rsidRDefault="00733A28" w:rsidP="008D1151">
            <w:pPr>
              <w:pStyle w:val="NormalWeb"/>
              <w:jc w:val="center"/>
              <w:rPr>
                <w:rFonts w:ascii="Arial" w:hAnsi="Arial" w:cs="Arial"/>
                <w:b/>
                <w:color w:val="FFFFFF" w:themeColor="background1"/>
              </w:rPr>
            </w:pPr>
            <w:r w:rsidRPr="00ED7414">
              <w:rPr>
                <w:rFonts w:ascii="Arial" w:hAnsi="Arial" w:cs="Arial"/>
                <w:b/>
                <w:color w:val="FFFFFF" w:themeColor="background1"/>
              </w:rPr>
              <w:t>PATIENT CONSENT</w:t>
            </w:r>
          </w:p>
        </w:tc>
      </w:tr>
      <w:tr w:rsidR="00733A28" w:rsidRPr="0032774E" w:rsidTr="00D66DC1">
        <w:tc>
          <w:tcPr>
            <w:tcW w:w="8331" w:type="dxa"/>
            <w:gridSpan w:val="4"/>
          </w:tcPr>
          <w:p w:rsidR="00733A28" w:rsidRDefault="00733A28" w:rsidP="008D1151">
            <w:pPr>
              <w:pStyle w:val="NormalWeb"/>
              <w:rPr>
                <w:rFonts w:ascii="Arial" w:hAnsi="Arial" w:cs="Arial"/>
                <w:sz w:val="22"/>
                <w:szCs w:val="22"/>
              </w:rPr>
            </w:pPr>
            <w:r w:rsidRPr="00110320">
              <w:rPr>
                <w:rFonts w:ascii="Arial" w:hAnsi="Arial" w:cs="Arial"/>
                <w:sz w:val="22"/>
                <w:szCs w:val="22"/>
              </w:rPr>
              <w:t xml:space="preserve">I understand the need for and consent to the procedure detailed above. I confirm that I have been given all the required information about the procedure, including techniques, aftercare, benefits, risks and the required follow-up process. </w:t>
            </w:r>
          </w:p>
          <w:p w:rsidR="00733A28" w:rsidRPr="00110320" w:rsidRDefault="00733A28" w:rsidP="008D1151">
            <w:pPr>
              <w:pStyle w:val="NormalWeb"/>
              <w:rPr>
                <w:rFonts w:ascii="Arial" w:hAnsi="Arial" w:cs="Arial"/>
                <w:sz w:val="22"/>
                <w:szCs w:val="22"/>
              </w:rPr>
            </w:pPr>
            <w:r w:rsidRPr="00110320">
              <w:rPr>
                <w:rFonts w:ascii="Arial" w:hAnsi="Arial" w:cs="Arial"/>
                <w:sz w:val="22"/>
                <w:szCs w:val="22"/>
              </w:rPr>
              <w:t>I also have been advised of my rights as a patient.</w:t>
            </w:r>
          </w:p>
        </w:tc>
      </w:tr>
      <w:tr w:rsidR="00733A28" w:rsidRPr="00E31DC0" w:rsidTr="00D66DC1">
        <w:tc>
          <w:tcPr>
            <w:tcW w:w="1696"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t>Signature of patient</w:t>
            </w:r>
          </w:p>
        </w:tc>
        <w:tc>
          <w:tcPr>
            <w:tcW w:w="6635" w:type="dxa"/>
            <w:gridSpan w:val="3"/>
          </w:tcPr>
          <w:p w:rsidR="00733A28" w:rsidRPr="00E31DC0" w:rsidRDefault="00733A28" w:rsidP="008D1151">
            <w:pPr>
              <w:pStyle w:val="NormalWeb"/>
              <w:rPr>
                <w:rFonts w:ascii="Arial" w:hAnsi="Arial" w:cs="Arial"/>
                <w:b/>
              </w:rPr>
            </w:pPr>
          </w:p>
          <w:p w:rsidR="00733A28" w:rsidRPr="00E31DC0" w:rsidRDefault="00733A28" w:rsidP="008D1151">
            <w:pPr>
              <w:pStyle w:val="NormalWeb"/>
              <w:rPr>
                <w:rFonts w:ascii="Arial" w:hAnsi="Arial" w:cs="Arial"/>
                <w:b/>
              </w:rPr>
            </w:pPr>
          </w:p>
        </w:tc>
      </w:tr>
      <w:tr w:rsidR="00733A28" w:rsidRPr="00E31DC0" w:rsidTr="00D66DC1">
        <w:tc>
          <w:tcPr>
            <w:tcW w:w="1696" w:type="dxa"/>
            <w:shd w:val="clear" w:color="auto" w:fill="4472C4" w:themeFill="accent1"/>
          </w:tcPr>
          <w:p w:rsidR="00733A28" w:rsidRPr="00ED7414" w:rsidRDefault="00733A28" w:rsidP="008D1151">
            <w:pPr>
              <w:pStyle w:val="NormalWeb"/>
              <w:rPr>
                <w:rFonts w:ascii="Arial" w:hAnsi="Arial" w:cs="Arial"/>
                <w:b/>
                <w:color w:val="FFFFFF" w:themeColor="background1"/>
              </w:rPr>
            </w:pPr>
            <w:r w:rsidRPr="00ED7414">
              <w:rPr>
                <w:rFonts w:ascii="Arial" w:hAnsi="Arial" w:cs="Arial"/>
                <w:b/>
                <w:color w:val="FFFFFF" w:themeColor="background1"/>
              </w:rPr>
              <w:lastRenderedPageBreak/>
              <w:t>Date of signature</w:t>
            </w:r>
          </w:p>
        </w:tc>
        <w:tc>
          <w:tcPr>
            <w:tcW w:w="6635" w:type="dxa"/>
            <w:gridSpan w:val="3"/>
          </w:tcPr>
          <w:p w:rsidR="00733A28" w:rsidRDefault="00733A28" w:rsidP="008D1151">
            <w:pPr>
              <w:pStyle w:val="NormalWeb"/>
              <w:rPr>
                <w:rFonts w:ascii="Arial" w:hAnsi="Arial" w:cs="Arial"/>
                <w:b/>
              </w:rPr>
            </w:pPr>
          </w:p>
          <w:p w:rsidR="00DE6C0E" w:rsidRPr="00E31DC0" w:rsidRDefault="00DE6C0E" w:rsidP="008D1151">
            <w:pPr>
              <w:pStyle w:val="NormalWeb"/>
              <w:rPr>
                <w:rFonts w:ascii="Arial" w:hAnsi="Arial" w:cs="Arial"/>
                <w:b/>
              </w:rPr>
            </w:pPr>
          </w:p>
        </w:tc>
      </w:tr>
    </w:tbl>
    <w:p w:rsidR="001B2025" w:rsidRPr="00E31DC0" w:rsidRDefault="001B2025" w:rsidP="00733A28">
      <w:pPr>
        <w:pStyle w:val="NormalWeb"/>
        <w:spacing w:before="0" w:beforeAutospacing="0" w:after="0" w:afterAutospacing="0"/>
        <w:rPr>
          <w:rFonts w:ascii="Arial" w:hAnsi="Arial" w:cs="Arial"/>
        </w:rPr>
      </w:pPr>
    </w:p>
    <w:sectPr w:rsidR="001B2025" w:rsidRPr="00E31DC0" w:rsidSect="007A4AAC">
      <w:headerReference w:type="default" r:id="rId29"/>
      <w:footerReference w:type="even" r:id="rId30"/>
      <w:footerReference w:type="default" r:id="rId31"/>
      <w:pgSz w:w="11900" w:h="16840"/>
      <w:pgMar w:top="1440" w:right="2119"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51" w:rsidRDefault="008D1151" w:rsidP="001A7ADA">
      <w:r>
        <w:separator/>
      </w:r>
    </w:p>
  </w:endnote>
  <w:endnote w:type="continuationSeparator" w:id="0">
    <w:p w:rsidR="008D1151" w:rsidRDefault="008D1151" w:rsidP="001A7A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51" w:rsidRDefault="000E1994" w:rsidP="00CC351B">
    <w:pPr>
      <w:pStyle w:val="Footer"/>
      <w:framePr w:wrap="none" w:vAnchor="text" w:hAnchor="margin" w:xAlign="right" w:y="1"/>
      <w:rPr>
        <w:rStyle w:val="PageNumber"/>
      </w:rPr>
    </w:pPr>
    <w:r>
      <w:rPr>
        <w:rStyle w:val="PageNumber"/>
      </w:rPr>
      <w:fldChar w:fldCharType="begin"/>
    </w:r>
    <w:r w:rsidR="008D1151">
      <w:rPr>
        <w:rStyle w:val="PageNumber"/>
      </w:rPr>
      <w:instrText xml:space="preserve">PAGE  </w:instrText>
    </w:r>
    <w:r>
      <w:rPr>
        <w:rStyle w:val="PageNumber"/>
      </w:rPr>
      <w:fldChar w:fldCharType="end"/>
    </w:r>
  </w:p>
  <w:p w:rsidR="008D1151" w:rsidRDefault="008D1151" w:rsidP="00462E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51" w:rsidRDefault="000E1994" w:rsidP="00CC351B">
    <w:pPr>
      <w:pStyle w:val="Footer"/>
      <w:framePr w:wrap="none" w:vAnchor="text" w:hAnchor="margin" w:xAlign="right" w:y="1"/>
      <w:rPr>
        <w:rStyle w:val="PageNumber"/>
      </w:rPr>
    </w:pPr>
    <w:r>
      <w:rPr>
        <w:rStyle w:val="PageNumber"/>
      </w:rPr>
      <w:fldChar w:fldCharType="begin"/>
    </w:r>
    <w:r w:rsidR="008D1151">
      <w:rPr>
        <w:rStyle w:val="PageNumber"/>
      </w:rPr>
      <w:instrText xml:space="preserve">PAGE  </w:instrText>
    </w:r>
    <w:r>
      <w:rPr>
        <w:rStyle w:val="PageNumber"/>
      </w:rPr>
      <w:fldChar w:fldCharType="separate"/>
    </w:r>
    <w:r w:rsidR="00547EA4">
      <w:rPr>
        <w:rStyle w:val="PageNumber"/>
        <w:noProof/>
      </w:rPr>
      <w:t>1</w:t>
    </w:r>
    <w:r>
      <w:rPr>
        <w:rStyle w:val="PageNumber"/>
      </w:rPr>
      <w:fldChar w:fldCharType="end"/>
    </w:r>
  </w:p>
  <w:p w:rsidR="008D1151" w:rsidRDefault="008D1151" w:rsidP="00462E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51" w:rsidRDefault="008D1151" w:rsidP="001A7ADA">
      <w:r>
        <w:separator/>
      </w:r>
    </w:p>
  </w:footnote>
  <w:footnote w:type="continuationSeparator" w:id="0">
    <w:p w:rsidR="008D1151" w:rsidRDefault="008D1151" w:rsidP="001A7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51" w:rsidRDefault="008D1151" w:rsidP="001A5A31">
    <w:pPr>
      <w:pStyle w:val="Header"/>
      <w:jc w:val="center"/>
    </w:pPr>
    <w:r>
      <w:rPr>
        <w:noProof/>
        <w:lang w:eastAsia="en-GB"/>
      </w:rPr>
      <w:t>COAST HEALTH</w:t>
    </w:r>
  </w:p>
  <w:p w:rsidR="008D1151" w:rsidRDefault="008D1151" w:rsidP="001A5A31">
    <w:pPr>
      <w:pStyle w:val="Header"/>
      <w:jc w:val="center"/>
    </w:pPr>
    <w:r w:rsidRPr="008D1151">
      <w:t>www.coast-health.co.uk</w:t>
    </w:r>
  </w:p>
  <w:p w:rsidR="008D1151" w:rsidRDefault="008D11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F11601"/>
    <w:multiLevelType w:val="hybridMultilevel"/>
    <w:tmpl w:val="CA407E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82775B"/>
    <w:multiLevelType w:val="multilevel"/>
    <w:tmpl w:val="A684C23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315D9E"/>
    <w:multiLevelType w:val="hybridMultilevel"/>
    <w:tmpl w:val="7C2E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571A23"/>
    <w:multiLevelType w:val="multilevel"/>
    <w:tmpl w:val="C74A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17665E"/>
    <w:multiLevelType w:val="hybridMultilevel"/>
    <w:tmpl w:val="65F8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F4644C"/>
    <w:multiLevelType w:val="hybridMultilevel"/>
    <w:tmpl w:val="00E256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nsid w:val="2F005CCC"/>
    <w:multiLevelType w:val="hybridMultilevel"/>
    <w:tmpl w:val="77D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614FB"/>
    <w:multiLevelType w:val="hybridMultilevel"/>
    <w:tmpl w:val="292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C25B1B"/>
    <w:multiLevelType w:val="hybridMultilevel"/>
    <w:tmpl w:val="C1FC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0E22DC"/>
    <w:multiLevelType w:val="hybridMultilevel"/>
    <w:tmpl w:val="193C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013A96"/>
    <w:multiLevelType w:val="hybridMultilevel"/>
    <w:tmpl w:val="9A12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4A15EE"/>
    <w:multiLevelType w:val="multilevel"/>
    <w:tmpl w:val="04CA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16297"/>
    <w:multiLevelType w:val="hybridMultilevel"/>
    <w:tmpl w:val="027A6F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nsid w:val="54395532"/>
    <w:multiLevelType w:val="hybridMultilevel"/>
    <w:tmpl w:val="393C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B64903"/>
    <w:multiLevelType w:val="hybridMultilevel"/>
    <w:tmpl w:val="CF82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F8633F"/>
    <w:multiLevelType w:val="multilevel"/>
    <w:tmpl w:val="4B1CD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325317"/>
    <w:multiLevelType w:val="hybridMultilevel"/>
    <w:tmpl w:val="CAF4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C3157F"/>
    <w:multiLevelType w:val="hybridMultilevel"/>
    <w:tmpl w:val="D77C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4D6DE2"/>
    <w:multiLevelType w:val="hybridMultilevel"/>
    <w:tmpl w:val="4F12EAA6"/>
    <w:lvl w:ilvl="0" w:tplc="9BA0B2A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D939C8"/>
    <w:multiLevelType w:val="hybridMultilevel"/>
    <w:tmpl w:val="EC68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B968B9"/>
    <w:multiLevelType w:val="multilevel"/>
    <w:tmpl w:val="963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1A3F28"/>
    <w:multiLevelType w:val="hybridMultilevel"/>
    <w:tmpl w:val="388A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3B333B"/>
    <w:multiLevelType w:val="hybridMultilevel"/>
    <w:tmpl w:val="4754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305A00"/>
    <w:multiLevelType w:val="hybridMultilevel"/>
    <w:tmpl w:val="0EC6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867A23"/>
    <w:multiLevelType w:val="hybridMultilevel"/>
    <w:tmpl w:val="E668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31"/>
  </w:num>
  <w:num w:numId="5">
    <w:abstractNumId w:val="24"/>
  </w:num>
  <w:num w:numId="6">
    <w:abstractNumId w:val="12"/>
  </w:num>
  <w:num w:numId="7">
    <w:abstractNumId w:val="1"/>
  </w:num>
  <w:num w:numId="8">
    <w:abstractNumId w:val="3"/>
  </w:num>
  <w:num w:numId="9">
    <w:abstractNumId w:val="20"/>
  </w:num>
  <w:num w:numId="10">
    <w:abstractNumId w:val="4"/>
  </w:num>
  <w:num w:numId="11">
    <w:abstractNumId w:val="23"/>
  </w:num>
  <w:num w:numId="12">
    <w:abstractNumId w:val="32"/>
  </w:num>
  <w:num w:numId="13">
    <w:abstractNumId w:val="29"/>
  </w:num>
  <w:num w:numId="14">
    <w:abstractNumId w:val="21"/>
  </w:num>
  <w:num w:numId="15">
    <w:abstractNumId w:val="10"/>
  </w:num>
  <w:num w:numId="16">
    <w:abstractNumId w:val="27"/>
  </w:num>
  <w:num w:numId="17">
    <w:abstractNumId w:val="11"/>
  </w:num>
  <w:num w:numId="18">
    <w:abstractNumId w:val="4"/>
  </w:num>
  <w:num w:numId="19">
    <w:abstractNumId w:val="4"/>
  </w:num>
  <w:num w:numId="20">
    <w:abstractNumId w:val="9"/>
  </w:num>
  <w:num w:numId="21">
    <w:abstractNumId w:val="18"/>
  </w:num>
  <w:num w:numId="22">
    <w:abstractNumId w:val="4"/>
  </w:num>
  <w:num w:numId="23">
    <w:abstractNumId w:val="2"/>
  </w:num>
  <w:num w:numId="24">
    <w:abstractNumId w:val="26"/>
  </w:num>
  <w:num w:numId="25">
    <w:abstractNumId w:val="33"/>
  </w:num>
  <w:num w:numId="26">
    <w:abstractNumId w:val="17"/>
  </w:num>
  <w:num w:numId="27">
    <w:abstractNumId w:val="4"/>
  </w:num>
  <w:num w:numId="28">
    <w:abstractNumId w:val="25"/>
  </w:num>
  <w:num w:numId="29">
    <w:abstractNumId w:val="4"/>
  </w:num>
  <w:num w:numId="30">
    <w:abstractNumId w:val="4"/>
  </w:num>
  <w:num w:numId="31">
    <w:abstractNumId w:val="14"/>
  </w:num>
  <w:num w:numId="32">
    <w:abstractNumId w:val="22"/>
  </w:num>
  <w:num w:numId="33">
    <w:abstractNumId w:val="28"/>
  </w:num>
  <w:num w:numId="34">
    <w:abstractNumId w:val="16"/>
  </w:num>
  <w:num w:numId="35">
    <w:abstractNumId w:val="4"/>
  </w:num>
  <w:num w:numId="36">
    <w:abstractNumId w:val="15"/>
  </w:num>
  <w:num w:numId="37">
    <w:abstractNumId w:val="4"/>
  </w:num>
  <w:num w:numId="38">
    <w:abstractNumId w:val="6"/>
  </w:num>
  <w:num w:numId="39">
    <w:abstractNumId w:val="7"/>
  </w:num>
  <w:num w:numId="40">
    <w:abstractNumId w:val="8"/>
  </w:num>
  <w:num w:numId="41">
    <w:abstractNumId w:val="19"/>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55414F"/>
    <w:rsid w:val="00005B10"/>
    <w:rsid w:val="00010CD3"/>
    <w:rsid w:val="00042082"/>
    <w:rsid w:val="00043ACE"/>
    <w:rsid w:val="000525E2"/>
    <w:rsid w:val="000532E5"/>
    <w:rsid w:val="00060A78"/>
    <w:rsid w:val="0008162B"/>
    <w:rsid w:val="000B262C"/>
    <w:rsid w:val="000B700E"/>
    <w:rsid w:val="000C08D7"/>
    <w:rsid w:val="000C0EEE"/>
    <w:rsid w:val="000C63A7"/>
    <w:rsid w:val="000D0B72"/>
    <w:rsid w:val="000D64AA"/>
    <w:rsid w:val="000D68D3"/>
    <w:rsid w:val="000E1994"/>
    <w:rsid w:val="000E2B1D"/>
    <w:rsid w:val="000F2745"/>
    <w:rsid w:val="001062BF"/>
    <w:rsid w:val="001068BC"/>
    <w:rsid w:val="0010700A"/>
    <w:rsid w:val="00110320"/>
    <w:rsid w:val="00126854"/>
    <w:rsid w:val="00132D32"/>
    <w:rsid w:val="00134281"/>
    <w:rsid w:val="001363AB"/>
    <w:rsid w:val="00151278"/>
    <w:rsid w:val="001530E6"/>
    <w:rsid w:val="001611B4"/>
    <w:rsid w:val="00174139"/>
    <w:rsid w:val="00175C3A"/>
    <w:rsid w:val="00197F19"/>
    <w:rsid w:val="001A242B"/>
    <w:rsid w:val="001A5A31"/>
    <w:rsid w:val="001A6404"/>
    <w:rsid w:val="001A7ADA"/>
    <w:rsid w:val="001B2025"/>
    <w:rsid w:val="001E5A58"/>
    <w:rsid w:val="00204546"/>
    <w:rsid w:val="00205A09"/>
    <w:rsid w:val="00205D91"/>
    <w:rsid w:val="00215338"/>
    <w:rsid w:val="00220044"/>
    <w:rsid w:val="0023709E"/>
    <w:rsid w:val="00242B67"/>
    <w:rsid w:val="00242BCA"/>
    <w:rsid w:val="00245B14"/>
    <w:rsid w:val="00250BC0"/>
    <w:rsid w:val="00253637"/>
    <w:rsid w:val="00262DED"/>
    <w:rsid w:val="00267D20"/>
    <w:rsid w:val="002A0F2E"/>
    <w:rsid w:val="002A471B"/>
    <w:rsid w:val="002B66E7"/>
    <w:rsid w:val="002C04CE"/>
    <w:rsid w:val="002C1FFD"/>
    <w:rsid w:val="002C7888"/>
    <w:rsid w:val="002C7AA5"/>
    <w:rsid w:val="002D19E7"/>
    <w:rsid w:val="002E0DC0"/>
    <w:rsid w:val="002E7933"/>
    <w:rsid w:val="00315F03"/>
    <w:rsid w:val="0032774E"/>
    <w:rsid w:val="00333ADB"/>
    <w:rsid w:val="00340F32"/>
    <w:rsid w:val="003418F9"/>
    <w:rsid w:val="0035182E"/>
    <w:rsid w:val="003557DC"/>
    <w:rsid w:val="003629A8"/>
    <w:rsid w:val="003727CB"/>
    <w:rsid w:val="003743CF"/>
    <w:rsid w:val="00396043"/>
    <w:rsid w:val="003A093C"/>
    <w:rsid w:val="003A2E30"/>
    <w:rsid w:val="003B6653"/>
    <w:rsid w:val="003E218E"/>
    <w:rsid w:val="003E3B00"/>
    <w:rsid w:val="003E5CA9"/>
    <w:rsid w:val="003F4C33"/>
    <w:rsid w:val="003F5566"/>
    <w:rsid w:val="004054F1"/>
    <w:rsid w:val="00414BA5"/>
    <w:rsid w:val="004203DC"/>
    <w:rsid w:val="00422241"/>
    <w:rsid w:val="0042260A"/>
    <w:rsid w:val="0043009A"/>
    <w:rsid w:val="00443456"/>
    <w:rsid w:val="00451282"/>
    <w:rsid w:val="00452E0B"/>
    <w:rsid w:val="00456408"/>
    <w:rsid w:val="00462EF4"/>
    <w:rsid w:val="004634C9"/>
    <w:rsid w:val="0046350B"/>
    <w:rsid w:val="00467D4C"/>
    <w:rsid w:val="00480428"/>
    <w:rsid w:val="004804E4"/>
    <w:rsid w:val="004811CE"/>
    <w:rsid w:val="00481B11"/>
    <w:rsid w:val="0048220D"/>
    <w:rsid w:val="004856D4"/>
    <w:rsid w:val="00486CBB"/>
    <w:rsid w:val="00496342"/>
    <w:rsid w:val="004A60C6"/>
    <w:rsid w:val="004B6576"/>
    <w:rsid w:val="004E0159"/>
    <w:rsid w:val="004F4BD8"/>
    <w:rsid w:val="005028FF"/>
    <w:rsid w:val="00547EA4"/>
    <w:rsid w:val="0055414F"/>
    <w:rsid w:val="0056208F"/>
    <w:rsid w:val="00573F90"/>
    <w:rsid w:val="00574DD6"/>
    <w:rsid w:val="0057655C"/>
    <w:rsid w:val="005A6C41"/>
    <w:rsid w:val="005B411D"/>
    <w:rsid w:val="005C2B3C"/>
    <w:rsid w:val="005D2B65"/>
    <w:rsid w:val="005F01D6"/>
    <w:rsid w:val="005F25AB"/>
    <w:rsid w:val="005F31AD"/>
    <w:rsid w:val="005F4F6F"/>
    <w:rsid w:val="00600232"/>
    <w:rsid w:val="006418DF"/>
    <w:rsid w:val="006650B1"/>
    <w:rsid w:val="006670D3"/>
    <w:rsid w:val="006754E4"/>
    <w:rsid w:val="0069158E"/>
    <w:rsid w:val="00696034"/>
    <w:rsid w:val="00696BBD"/>
    <w:rsid w:val="00697E17"/>
    <w:rsid w:val="006C24FA"/>
    <w:rsid w:val="006C564D"/>
    <w:rsid w:val="006E1BE2"/>
    <w:rsid w:val="006E1D9A"/>
    <w:rsid w:val="006E1ECE"/>
    <w:rsid w:val="006F2BE9"/>
    <w:rsid w:val="006F7434"/>
    <w:rsid w:val="00705117"/>
    <w:rsid w:val="00710ED0"/>
    <w:rsid w:val="00717FC1"/>
    <w:rsid w:val="00724CE4"/>
    <w:rsid w:val="007335B2"/>
    <w:rsid w:val="00733A28"/>
    <w:rsid w:val="00741474"/>
    <w:rsid w:val="007558C9"/>
    <w:rsid w:val="00755CA3"/>
    <w:rsid w:val="00781C84"/>
    <w:rsid w:val="00781DC7"/>
    <w:rsid w:val="00782014"/>
    <w:rsid w:val="00784FF5"/>
    <w:rsid w:val="007862B1"/>
    <w:rsid w:val="00795095"/>
    <w:rsid w:val="007A0403"/>
    <w:rsid w:val="007A0CF7"/>
    <w:rsid w:val="007A4AAC"/>
    <w:rsid w:val="007B3ABC"/>
    <w:rsid w:val="007D1343"/>
    <w:rsid w:val="007D28C5"/>
    <w:rsid w:val="007D389E"/>
    <w:rsid w:val="007D4E53"/>
    <w:rsid w:val="007D6533"/>
    <w:rsid w:val="007E6C70"/>
    <w:rsid w:val="007F34C9"/>
    <w:rsid w:val="008024B1"/>
    <w:rsid w:val="0081748F"/>
    <w:rsid w:val="0082549A"/>
    <w:rsid w:val="00847807"/>
    <w:rsid w:val="008557C7"/>
    <w:rsid w:val="00857A11"/>
    <w:rsid w:val="00862AAC"/>
    <w:rsid w:val="00863B81"/>
    <w:rsid w:val="008644E2"/>
    <w:rsid w:val="008706B5"/>
    <w:rsid w:val="008C11B9"/>
    <w:rsid w:val="008D1151"/>
    <w:rsid w:val="00904D4D"/>
    <w:rsid w:val="00910926"/>
    <w:rsid w:val="00911143"/>
    <w:rsid w:val="00917352"/>
    <w:rsid w:val="00920251"/>
    <w:rsid w:val="00951666"/>
    <w:rsid w:val="00956BA3"/>
    <w:rsid w:val="0096085E"/>
    <w:rsid w:val="00963363"/>
    <w:rsid w:val="00964E93"/>
    <w:rsid w:val="00974822"/>
    <w:rsid w:val="00984750"/>
    <w:rsid w:val="00997C03"/>
    <w:rsid w:val="00997C8F"/>
    <w:rsid w:val="009A0063"/>
    <w:rsid w:val="009A600C"/>
    <w:rsid w:val="009B3EB9"/>
    <w:rsid w:val="009B7C4A"/>
    <w:rsid w:val="009E3755"/>
    <w:rsid w:val="009F4E36"/>
    <w:rsid w:val="009F603E"/>
    <w:rsid w:val="00A02A09"/>
    <w:rsid w:val="00A03913"/>
    <w:rsid w:val="00A16C3A"/>
    <w:rsid w:val="00A23A97"/>
    <w:rsid w:val="00A27EB3"/>
    <w:rsid w:val="00A4249D"/>
    <w:rsid w:val="00A55E33"/>
    <w:rsid w:val="00A72147"/>
    <w:rsid w:val="00A80C1E"/>
    <w:rsid w:val="00A9150E"/>
    <w:rsid w:val="00A924CF"/>
    <w:rsid w:val="00A9594C"/>
    <w:rsid w:val="00AA0D07"/>
    <w:rsid w:val="00AA1821"/>
    <w:rsid w:val="00AA25BE"/>
    <w:rsid w:val="00AA27A1"/>
    <w:rsid w:val="00AA389D"/>
    <w:rsid w:val="00AA6645"/>
    <w:rsid w:val="00AB6453"/>
    <w:rsid w:val="00AB7BEE"/>
    <w:rsid w:val="00AC3A04"/>
    <w:rsid w:val="00AE0294"/>
    <w:rsid w:val="00AF05C1"/>
    <w:rsid w:val="00B04053"/>
    <w:rsid w:val="00B430B4"/>
    <w:rsid w:val="00B748E5"/>
    <w:rsid w:val="00B75C37"/>
    <w:rsid w:val="00B80470"/>
    <w:rsid w:val="00BA0C39"/>
    <w:rsid w:val="00BA4588"/>
    <w:rsid w:val="00BA5ED1"/>
    <w:rsid w:val="00BA6C24"/>
    <w:rsid w:val="00BB4D33"/>
    <w:rsid w:val="00BD2885"/>
    <w:rsid w:val="00BE234C"/>
    <w:rsid w:val="00BF0BFF"/>
    <w:rsid w:val="00BF2532"/>
    <w:rsid w:val="00C01026"/>
    <w:rsid w:val="00C02C82"/>
    <w:rsid w:val="00C330F5"/>
    <w:rsid w:val="00C347DE"/>
    <w:rsid w:val="00C34967"/>
    <w:rsid w:val="00C41E5F"/>
    <w:rsid w:val="00C52927"/>
    <w:rsid w:val="00C531AC"/>
    <w:rsid w:val="00C551DC"/>
    <w:rsid w:val="00C7214F"/>
    <w:rsid w:val="00C759DD"/>
    <w:rsid w:val="00CB1A6E"/>
    <w:rsid w:val="00CC351B"/>
    <w:rsid w:val="00CD211E"/>
    <w:rsid w:val="00CF176E"/>
    <w:rsid w:val="00D10137"/>
    <w:rsid w:val="00D14C05"/>
    <w:rsid w:val="00D234E6"/>
    <w:rsid w:val="00D344BA"/>
    <w:rsid w:val="00D37EAF"/>
    <w:rsid w:val="00D42138"/>
    <w:rsid w:val="00D4369F"/>
    <w:rsid w:val="00D51886"/>
    <w:rsid w:val="00D604AF"/>
    <w:rsid w:val="00D6069D"/>
    <w:rsid w:val="00D66DC1"/>
    <w:rsid w:val="00D765F3"/>
    <w:rsid w:val="00D768EE"/>
    <w:rsid w:val="00D77819"/>
    <w:rsid w:val="00D86F8B"/>
    <w:rsid w:val="00D91812"/>
    <w:rsid w:val="00DA1AA9"/>
    <w:rsid w:val="00DB0A65"/>
    <w:rsid w:val="00DD0E46"/>
    <w:rsid w:val="00DD37E1"/>
    <w:rsid w:val="00DD4344"/>
    <w:rsid w:val="00DE6C0E"/>
    <w:rsid w:val="00DF5B50"/>
    <w:rsid w:val="00E14EF1"/>
    <w:rsid w:val="00E2704E"/>
    <w:rsid w:val="00E3013A"/>
    <w:rsid w:val="00E31DC0"/>
    <w:rsid w:val="00E3542D"/>
    <w:rsid w:val="00E41A7C"/>
    <w:rsid w:val="00E517CA"/>
    <w:rsid w:val="00E74909"/>
    <w:rsid w:val="00E86A81"/>
    <w:rsid w:val="00E87357"/>
    <w:rsid w:val="00E9656A"/>
    <w:rsid w:val="00EA5FA5"/>
    <w:rsid w:val="00EB5049"/>
    <w:rsid w:val="00EC032E"/>
    <w:rsid w:val="00EC40B2"/>
    <w:rsid w:val="00ED7414"/>
    <w:rsid w:val="00F01EC2"/>
    <w:rsid w:val="00F07D09"/>
    <w:rsid w:val="00F07D17"/>
    <w:rsid w:val="00F07FF4"/>
    <w:rsid w:val="00F23031"/>
    <w:rsid w:val="00F6213D"/>
    <w:rsid w:val="00F62D77"/>
    <w:rsid w:val="00F73C3F"/>
    <w:rsid w:val="00F81F5A"/>
    <w:rsid w:val="00F86258"/>
    <w:rsid w:val="00F95E02"/>
    <w:rsid w:val="00F970AB"/>
    <w:rsid w:val="00F97431"/>
    <w:rsid w:val="00FA724D"/>
    <w:rsid w:val="00FB07E8"/>
    <w:rsid w:val="00FB4AD1"/>
    <w:rsid w:val="00FB7B87"/>
    <w:rsid w:val="00FC35D7"/>
    <w:rsid w:val="00FD12E5"/>
    <w:rsid w:val="00FD385D"/>
    <w:rsid w:val="00FD5D3E"/>
    <w:rsid w:val="00FE0A3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175C3A"/>
    <w:pPr>
      <w:tabs>
        <w:tab w:val="left" w:pos="426"/>
        <w:tab w:val="right" w:pos="8364"/>
      </w:tabs>
      <w:spacing w:before="80"/>
    </w:pPr>
    <w:rPr>
      <w:rFonts w:ascii="Arial" w:hAnsi="Arial" w:cs="Arial"/>
      <w:b/>
      <w:bCs/>
      <w:caps/>
      <w:noProof/>
    </w:rPr>
  </w:style>
  <w:style w:type="paragraph" w:styleId="TOC2">
    <w:name w:val="toc 2"/>
    <w:basedOn w:val="Normal"/>
    <w:next w:val="Normal"/>
    <w:autoRedefine/>
    <w:uiPriority w:val="39"/>
    <w:rsid w:val="001530E6"/>
    <w:pPr>
      <w:tabs>
        <w:tab w:val="left" w:pos="567"/>
        <w:tab w:val="right" w:pos="8364"/>
      </w:tabs>
      <w:spacing w:before="80"/>
    </w:pPr>
    <w:rPr>
      <w:rFonts w:cstheme="minorHAnsi"/>
      <w:b/>
      <w:bCs/>
      <w:sz w:val="20"/>
      <w:szCs w:val="20"/>
    </w:rPr>
  </w:style>
  <w:style w:type="character" w:styleId="Strong">
    <w:name w:val="Strong"/>
    <w:basedOn w:val="DefaultParagraphFont"/>
    <w:uiPriority w:val="22"/>
    <w:qFormat/>
    <w:rsid w:val="007A0CF7"/>
    <w:rPr>
      <w:b/>
      <w:bCs/>
    </w:rPr>
  </w:style>
  <w:style w:type="paragraph" w:styleId="NormalWeb">
    <w:name w:val="Normal (Web)"/>
    <w:basedOn w:val="Normal"/>
    <w:uiPriority w:val="99"/>
    <w:unhideWhenUsed/>
    <w:rsid w:val="007A0CF7"/>
    <w:pPr>
      <w:spacing w:before="100" w:beforeAutospacing="1" w:after="100" w:afterAutospacing="1"/>
    </w:pPr>
    <w:rPr>
      <w:rFonts w:ascii="Times New Roman" w:hAnsi="Times New Roman" w:cs="Times New Roman"/>
      <w:lang w:eastAsia="en-GB"/>
    </w:rPr>
  </w:style>
  <w:style w:type="paragraph" w:customStyle="1" w:styleId="xmsonormal">
    <w:name w:val="x_msonormal"/>
    <w:basedOn w:val="Normal"/>
    <w:rsid w:val="00CF176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F176E"/>
  </w:style>
  <w:style w:type="character" w:customStyle="1" w:styleId="xgmail-msofootnotereference">
    <w:name w:val="x_gmail-msofootnotereference"/>
    <w:basedOn w:val="DefaultParagraphFont"/>
    <w:rsid w:val="00CF176E"/>
  </w:style>
  <w:style w:type="character" w:styleId="FollowedHyperlink">
    <w:name w:val="FollowedHyperlink"/>
    <w:basedOn w:val="DefaultParagraphFont"/>
    <w:uiPriority w:val="99"/>
    <w:semiHidden/>
    <w:unhideWhenUsed/>
    <w:rsid w:val="009E3755"/>
    <w:rPr>
      <w:color w:val="954F72" w:themeColor="followedHyperlink"/>
      <w:u w:val="single"/>
    </w:rPr>
  </w:style>
  <w:style w:type="character" w:customStyle="1" w:styleId="UnresolvedMention1">
    <w:name w:val="Unresolved Mention1"/>
    <w:basedOn w:val="DefaultParagraphFont"/>
    <w:uiPriority w:val="99"/>
    <w:rsid w:val="00481B11"/>
    <w:rPr>
      <w:color w:val="605E5C"/>
      <w:shd w:val="clear" w:color="auto" w:fill="E1DFDD"/>
    </w:rPr>
  </w:style>
  <w:style w:type="character" w:customStyle="1" w:styleId="UnresolvedMention2">
    <w:name w:val="Unresolved Mention2"/>
    <w:basedOn w:val="DefaultParagraphFont"/>
    <w:uiPriority w:val="99"/>
    <w:rsid w:val="00EC032E"/>
    <w:rPr>
      <w:color w:val="605E5C"/>
      <w:shd w:val="clear" w:color="auto" w:fill="E1DFDD"/>
    </w:rPr>
  </w:style>
  <w:style w:type="character" w:customStyle="1" w:styleId="UnresolvedMention3">
    <w:name w:val="Unresolved Mention3"/>
    <w:basedOn w:val="DefaultParagraphFont"/>
    <w:uiPriority w:val="99"/>
    <w:semiHidden/>
    <w:unhideWhenUsed/>
    <w:rsid w:val="00443456"/>
    <w:rPr>
      <w:color w:val="605E5C"/>
      <w:shd w:val="clear" w:color="auto" w:fill="E1DFDD"/>
    </w:rPr>
  </w:style>
  <w:style w:type="paragraph" w:styleId="Revision">
    <w:name w:val="Revision"/>
    <w:hidden/>
    <w:uiPriority w:val="99"/>
    <w:semiHidden/>
    <w:rsid w:val="00BA0C39"/>
  </w:style>
  <w:style w:type="character" w:customStyle="1" w:styleId="UnresolvedMention">
    <w:name w:val="Unresolved Mention"/>
    <w:basedOn w:val="DefaultParagraphFont"/>
    <w:uiPriority w:val="99"/>
    <w:semiHidden/>
    <w:unhideWhenUsed/>
    <w:rsid w:val="0057655C"/>
    <w:rPr>
      <w:color w:val="605E5C"/>
      <w:shd w:val="clear" w:color="auto" w:fill="E1DFDD"/>
    </w:rPr>
  </w:style>
  <w:style w:type="character" w:styleId="CommentReference">
    <w:name w:val="annotation reference"/>
    <w:basedOn w:val="DefaultParagraphFont"/>
    <w:uiPriority w:val="99"/>
    <w:semiHidden/>
    <w:unhideWhenUsed/>
    <w:rsid w:val="000D68D3"/>
    <w:rPr>
      <w:sz w:val="16"/>
      <w:szCs w:val="16"/>
    </w:rPr>
  </w:style>
</w:styles>
</file>

<file path=word/webSettings.xml><?xml version="1.0" encoding="utf-8"?>
<w:webSettings xmlns:r="http://schemas.openxmlformats.org/officeDocument/2006/relationships" xmlns:w="http://schemas.openxmlformats.org/wordprocessingml/2006/main">
  <w:divs>
    <w:div w:id="283509825">
      <w:bodyDiv w:val="1"/>
      <w:marLeft w:val="0"/>
      <w:marRight w:val="0"/>
      <w:marTop w:val="0"/>
      <w:marBottom w:val="0"/>
      <w:divBdr>
        <w:top w:val="none" w:sz="0" w:space="0" w:color="auto"/>
        <w:left w:val="none" w:sz="0" w:space="0" w:color="auto"/>
        <w:bottom w:val="none" w:sz="0" w:space="0" w:color="auto"/>
        <w:right w:val="none" w:sz="0" w:space="0" w:color="auto"/>
      </w:divBdr>
    </w:div>
    <w:div w:id="294338267">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152720703">
      <w:bodyDiv w:val="1"/>
      <w:marLeft w:val="0"/>
      <w:marRight w:val="0"/>
      <w:marTop w:val="0"/>
      <w:marBottom w:val="0"/>
      <w:divBdr>
        <w:top w:val="none" w:sz="0" w:space="0" w:color="auto"/>
        <w:left w:val="none" w:sz="0" w:space="0" w:color="auto"/>
        <w:bottom w:val="none" w:sz="0" w:space="0" w:color="auto"/>
        <w:right w:val="none" w:sz="0" w:space="0" w:color="auto"/>
      </w:divBdr>
    </w:div>
    <w:div w:id="1201169020">
      <w:bodyDiv w:val="1"/>
      <w:marLeft w:val="0"/>
      <w:marRight w:val="0"/>
      <w:marTop w:val="0"/>
      <w:marBottom w:val="0"/>
      <w:divBdr>
        <w:top w:val="none" w:sz="0" w:space="0" w:color="auto"/>
        <w:left w:val="none" w:sz="0" w:space="0" w:color="auto"/>
        <w:bottom w:val="none" w:sz="0" w:space="0" w:color="auto"/>
        <w:right w:val="none" w:sz="0" w:space="0" w:color="auto"/>
      </w:divBdr>
    </w:div>
    <w:div w:id="1258715323">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06668635">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58260783">
      <w:bodyDiv w:val="1"/>
      <w:marLeft w:val="0"/>
      <w:marRight w:val="0"/>
      <w:marTop w:val="0"/>
      <w:marBottom w:val="0"/>
      <w:divBdr>
        <w:top w:val="none" w:sz="0" w:space="0" w:color="auto"/>
        <w:left w:val="none" w:sz="0" w:space="0" w:color="auto"/>
        <w:bottom w:val="none" w:sz="0" w:space="0" w:color="auto"/>
        <w:right w:val="none" w:sz="0" w:space="0" w:color="auto"/>
      </w:divBdr>
    </w:div>
    <w:div w:id="2055810983">
      <w:bodyDiv w:val="1"/>
      <w:marLeft w:val="0"/>
      <w:marRight w:val="0"/>
      <w:marTop w:val="0"/>
      <w:marBottom w:val="0"/>
      <w:divBdr>
        <w:top w:val="none" w:sz="0" w:space="0" w:color="auto"/>
        <w:left w:val="none" w:sz="0" w:space="0" w:color="auto"/>
        <w:bottom w:val="none" w:sz="0" w:space="0" w:color="auto"/>
        <w:right w:val="none" w:sz="0" w:space="0" w:color="auto"/>
      </w:divBdr>
    </w:div>
    <w:div w:id="2080638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hs.uk/conditions/consent-to-treatment/children/" TargetMode="External"/><Relationship Id="rId18" Type="http://schemas.openxmlformats.org/officeDocument/2006/relationships/hyperlink" Target="https://www.bma.org.uk/media/2481/bma-consent-toolkit-september-2019.pdf" TargetMode="External"/><Relationship Id="rId26" Type="http://schemas.openxmlformats.org/officeDocument/2006/relationships/hyperlink" Target="https://www.nhs.uk/conditions/consent-to-treatment/capacity/" TargetMode="External"/><Relationship Id="rId3" Type="http://schemas.openxmlformats.org/officeDocument/2006/relationships/numbering" Target="numbering.xml"/><Relationship Id="rId21" Type="http://schemas.openxmlformats.org/officeDocument/2006/relationships/hyperlink" Target="https://www.cqc.org.uk/guidance-providers/gps/gp-mythbusters/gp-mythbuster-8-gillick-competency-fraser-guidelines" TargetMode="External"/><Relationship Id="rId7" Type="http://schemas.openxmlformats.org/officeDocument/2006/relationships/footnotes" Target="footnotes.xml"/><Relationship Id="rId12" Type="http://schemas.openxmlformats.org/officeDocument/2006/relationships/hyperlink" Target="https://www.nhs.uk/conditions/consent-to-treatment/children/" TargetMode="External"/><Relationship Id="rId17" Type="http://schemas.openxmlformats.org/officeDocument/2006/relationships/hyperlink" Target="https://assets.publishing.service.gov.uk/government/uploads/system/uploads/attachment_data/file/138297/dh_103652.pdf" TargetMode="External"/><Relationship Id="rId25" Type="http://schemas.openxmlformats.org/officeDocument/2006/relationships/hyperlink" Target="http://www.legislation.gov.uk/ukpga/2005/9/cont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conditions/consent-to-treatment/" TargetMode="External"/><Relationship Id="rId20" Type="http://schemas.openxmlformats.org/officeDocument/2006/relationships/hyperlink" Target="https://www.medicalprotection.org/uk/articles/consent-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uk/conditions/consent-to-treatment/" TargetMode="External"/><Relationship Id="rId24" Type="http://schemas.openxmlformats.org/officeDocument/2006/relationships/hyperlink" Target="https://www.gov.uk/government/publications/consent-the-green-book-chapter-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edicalprotection.org/uk/articles/eng-consent-the-basics" TargetMode="External"/><Relationship Id="rId23" Type="http://schemas.openxmlformats.org/officeDocument/2006/relationships/hyperlink" Target="https://assets.publishing.service.gov.uk/media/65290228244f8e00138e7524/Green-book-chapter-2-consent-12oct23.pdf" TargetMode="External"/><Relationship Id="rId28" Type="http://schemas.openxmlformats.org/officeDocument/2006/relationships/hyperlink" Target="https://www.mind.org.uk/information-support/legal-rights/mental-capacity-act-2005/deprivation-of-liberty/"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assets.publishing.service.gov.uk/government/uploads/system/uploads/attachment_data/file/138296/dh_103653__1_.pdf"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qc.org.uk/guidance-providers/regulations/regulation-11-need-consent" TargetMode="External"/><Relationship Id="rId14" Type="http://schemas.openxmlformats.org/officeDocument/2006/relationships/hyperlink" Target="https://www.gmc-uk.org/professional-standards/professional-standards-for-doctors/decision-making-and-consent/the-seven-principles-of-decision-making-and-consent" TargetMode="External"/><Relationship Id="rId22" Type="http://schemas.openxmlformats.org/officeDocument/2006/relationships/hyperlink" Target="https://www.nhs.uk/conditions/consent-to-treatment/children/" TargetMode="External"/><Relationship Id="rId27" Type="http://schemas.openxmlformats.org/officeDocument/2006/relationships/hyperlink" Target="file:///\\21736-serv3\shared\Letters\PRACTICE%20POLICIES\.STAFF%20HANDBOOK%20AND%20ASSOCIATED%20POLICIES%202018\2024\Mental%20capacity%20act%20policy%20UPDATES.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73B69-6E9D-4DCE-B7B0-82BC559E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18116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21736millerje</cp:lastModifiedBy>
  <cp:revision>3</cp:revision>
  <dcterms:created xsi:type="dcterms:W3CDTF">2024-12-18T10:31:00Z</dcterms:created>
  <dcterms:modified xsi:type="dcterms:W3CDTF">2024-12-18T10:34:00Z</dcterms:modified>
</cp:coreProperties>
</file>